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7003SCN Software Project Portfolio Report</w:t>
      </w:r>
    </w:p>
    <w:p w:rsidR="00000000" w:rsidDel="00000000" w:rsidP="00000000" w:rsidRDefault="00000000" w:rsidRPr="00000000" w14:paraId="0000000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Team Members</w:t>
      </w:r>
    </w:p>
    <w:p w:rsidR="00000000" w:rsidDel="00000000" w:rsidP="00000000" w:rsidRDefault="00000000" w:rsidRPr="00000000" w14:paraId="00000003">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Name: </w:t>
      </w:r>
      <w:r w:rsidDel="00000000" w:rsidR="00000000" w:rsidRPr="00000000">
        <w:rPr>
          <w:rFonts w:ascii="Times New Roman" w:cs="Times New Roman" w:eastAsia="Times New Roman" w:hAnsi="Times New Roman"/>
          <w:i w:val="1"/>
          <w:iCs w:val="1"/>
          <w:sz w:val="24"/>
          <w:szCs w:val="24"/>
          <w:highlight w:val="yellow"/>
          <w:rtl w:val="0"/>
        </w:rPr>
        <w:t xml:space="preserve">(full name)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36"/>
          <w:szCs w:val="36"/>
          <w:rtl w:val="0"/>
        </w:rPr>
        <w:t xml:space="preserve">/ SID: </w:t>
      </w:r>
      <w:r w:rsidDel="00000000" w:rsidR="00000000" w:rsidRPr="00000000">
        <w:rPr>
          <w:rFonts w:ascii="Times New Roman" w:cs="Times New Roman" w:eastAsia="Times New Roman" w:hAnsi="Times New Roman"/>
          <w:i w:val="1"/>
          <w:iCs w:val="1"/>
          <w:sz w:val="24"/>
          <w:szCs w:val="24"/>
          <w:highlight w:val="yellow"/>
          <w:rtl w:val="0"/>
        </w:rPr>
        <w:t xml:space="preserve">(Your student ID number)</w:t>
      </w:r>
      <w:r w:rsidDel="00000000" w:rsidR="00000000" w:rsidRPr="00000000">
        <w:rPr>
          <w:rFonts w:ascii="Times New Roman" w:cs="Times New Roman" w:eastAsia="Times New Roman" w:hAnsi="Times New Roman"/>
          <w:sz w:val="36"/>
          <w:szCs w:val="36"/>
          <w:rtl w:val="0"/>
        </w:rPr>
        <w:tab/>
      </w:r>
      <w:r w:rsidDel="00000000" w:rsidR="00000000" w:rsidRPr="00000000">
        <w:rPr>
          <w:rFonts w:ascii="Times New Roman" w:cs="Times New Roman" w:eastAsia="Times New Roman" w:hAnsi="Times New Roman"/>
          <w:sz w:val="24"/>
          <w:szCs w:val="24"/>
          <w:rtl w:val="0"/>
        </w:rPr>
        <w:t xml:space="preserve">(Team member 1)</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Name: </w:t>
      </w:r>
      <w:r w:rsidDel="00000000" w:rsidR="00000000" w:rsidRPr="00000000">
        <w:rPr>
          <w:rFonts w:ascii="Times New Roman" w:cs="Times New Roman" w:eastAsia="Times New Roman" w:hAnsi="Times New Roman"/>
          <w:sz w:val="24"/>
          <w:szCs w:val="24"/>
          <w:rtl w:val="0"/>
        </w:rPr>
        <w:t xml:space="preserve">ADETUNJI  MARVELLOUS OLUWAFERANMI</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36"/>
          <w:szCs w:val="36"/>
          <w:rtl w:val="0"/>
        </w:rPr>
        <w:t xml:space="preserve">/ SID: </w:t>
      </w:r>
      <w:r w:rsidDel="00000000" w:rsidR="00000000" w:rsidRPr="00000000">
        <w:rPr>
          <w:rFonts w:ascii="Times New Roman" w:cs="Times New Roman" w:eastAsia="Times New Roman" w:hAnsi="Times New Roman"/>
          <w:sz w:val="24"/>
          <w:szCs w:val="24"/>
          <w:rtl w:val="0"/>
        </w:rPr>
        <w:t xml:space="preserve">17181802 (Team member 2)</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Name: </w:t>
      </w:r>
      <w:r w:rsidDel="00000000" w:rsidR="00000000" w:rsidRPr="00000000">
        <w:rPr>
          <w:rFonts w:ascii="Times New Roman" w:cs="Times New Roman" w:eastAsia="Times New Roman" w:hAnsi="Times New Roman"/>
          <w:sz w:val="24"/>
          <w:szCs w:val="24"/>
          <w:rtl w:val="0"/>
        </w:rPr>
        <w:t xml:space="preserve">OPEYEMI CALEB AKOKI</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36"/>
          <w:szCs w:val="36"/>
          <w:rtl w:val="0"/>
        </w:rPr>
        <w:t xml:space="preserve">/ SID: </w:t>
      </w:r>
      <w:r w:rsidDel="00000000" w:rsidR="00000000" w:rsidRPr="00000000">
        <w:rPr>
          <w:rFonts w:ascii="Times New Roman" w:cs="Times New Roman" w:eastAsia="Times New Roman" w:hAnsi="Times New Roman"/>
          <w:sz w:val="24"/>
          <w:szCs w:val="24"/>
          <w:rtl w:val="0"/>
        </w:rPr>
        <w:t xml:space="preserve">16980763 (Team member 3)</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Name: </w:t>
      </w:r>
      <w:r w:rsidDel="00000000" w:rsidR="00000000" w:rsidRPr="00000000">
        <w:rPr>
          <w:rFonts w:ascii="Times New Roman" w:cs="Times New Roman" w:eastAsia="Times New Roman" w:hAnsi="Times New Roman"/>
          <w:i w:val="1"/>
          <w:iCs w:val="1"/>
          <w:sz w:val="24"/>
          <w:szCs w:val="24"/>
          <w:highlight w:val="yellow"/>
          <w:rtl w:val="0"/>
        </w:rPr>
        <w:t xml:space="preserve">(full name)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36"/>
          <w:szCs w:val="36"/>
          <w:rtl w:val="0"/>
        </w:rPr>
        <w:t xml:space="preserve">/ SID: </w:t>
      </w:r>
      <w:r w:rsidDel="00000000" w:rsidR="00000000" w:rsidRPr="00000000">
        <w:rPr>
          <w:rFonts w:ascii="Times New Roman" w:cs="Times New Roman" w:eastAsia="Times New Roman" w:hAnsi="Times New Roman"/>
          <w:i w:val="1"/>
          <w:iCs w:val="1"/>
          <w:sz w:val="24"/>
          <w:szCs w:val="24"/>
          <w:highlight w:val="yellow"/>
          <w:rtl w:val="0"/>
        </w:rPr>
        <w:t xml:space="preserve">(Your student ID number)</w:t>
      </w:r>
      <w:r w:rsidDel="00000000" w:rsidR="00000000" w:rsidRPr="00000000">
        <w:rPr>
          <w:rFonts w:ascii="Times New Roman" w:cs="Times New Roman" w:eastAsia="Times New Roman" w:hAnsi="Times New Roman"/>
          <w:sz w:val="36"/>
          <w:szCs w:val="36"/>
          <w:rtl w:val="0"/>
        </w:rPr>
        <w:tab/>
      </w:r>
      <w:r w:rsidDel="00000000" w:rsidR="00000000" w:rsidRPr="00000000">
        <w:rPr>
          <w:rFonts w:ascii="Times New Roman" w:cs="Times New Roman" w:eastAsia="Times New Roman" w:hAnsi="Times New Roman"/>
          <w:sz w:val="24"/>
          <w:szCs w:val="24"/>
          <w:rtl w:val="0"/>
        </w:rPr>
        <w:t xml:space="preserve">(Team member 4)</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sz w:val="36"/>
          <w:szCs w:val="36"/>
          <w:rtl w:val="0"/>
        </w:rPr>
        <w:t xml:space="preserve">Name: </w:t>
      </w:r>
      <w:r w:rsidDel="00000000" w:rsidR="00000000" w:rsidRPr="00000000">
        <w:rPr>
          <w:rFonts w:ascii="Times New Roman" w:cs="Times New Roman" w:eastAsia="Times New Roman" w:hAnsi="Times New Roman"/>
          <w:sz w:val="24"/>
          <w:szCs w:val="24"/>
          <w:rtl w:val="0"/>
        </w:rPr>
        <w:t xml:space="preserve">Ijeoma Chiedozie Desmond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36"/>
          <w:szCs w:val="36"/>
          <w:rtl w:val="0"/>
        </w:rPr>
        <w:t xml:space="preserve">/ SID: </w:t>
      </w:r>
      <w:r w:rsidDel="00000000" w:rsidR="00000000" w:rsidRPr="00000000">
        <w:rPr>
          <w:rFonts w:ascii="Times New Roman" w:cs="Times New Roman" w:eastAsia="Times New Roman" w:hAnsi="Times New Roman"/>
          <w:sz w:val="24"/>
          <w:szCs w:val="24"/>
          <w:rtl w:val="0"/>
        </w:rPr>
        <w:t xml:space="preserve">17365424</w:t>
      </w:r>
      <w:r w:rsidDel="00000000" w:rsidR="00000000" w:rsidRPr="00000000">
        <w:rPr>
          <w:rFonts w:ascii="Times New Roman" w:cs="Times New Roman" w:eastAsia="Times New Roman" w:hAnsi="Times New Roman"/>
          <w:sz w:val="36"/>
          <w:szCs w:val="36"/>
          <w:rtl w:val="0"/>
        </w:rPr>
        <w:tab/>
      </w:r>
      <w:r w:rsidDel="00000000" w:rsidR="00000000" w:rsidRPr="00000000">
        <w:rPr>
          <w:rFonts w:ascii="Times New Roman" w:cs="Times New Roman" w:eastAsia="Times New Roman" w:hAnsi="Times New Roman"/>
          <w:sz w:val="24"/>
          <w:szCs w:val="24"/>
          <w:rtl w:val="0"/>
        </w:rPr>
        <w:t xml:space="preserve">(Team member 5)</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9">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Declaration of Originality: </w:t>
      </w:r>
    </w:p>
    <w:p w:rsidR="00000000" w:rsidDel="00000000" w:rsidP="00000000" w:rsidRDefault="00000000" w:rsidRPr="00000000" w14:paraId="0000000A">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listed in one of the members above, I confirm that the individual components in this report are solely my own work and signed off by myself, in fulfilment of the requirements of my course and the Chartered Management Institute (CMI) Level 7 Certificate award.</w:t>
      </w:r>
    </w:p>
    <w:p w:rsidR="00000000" w:rsidDel="00000000" w:rsidP="00000000" w:rsidRDefault="00000000" w:rsidRPr="00000000" w14:paraId="0000000B">
      <w:pPr>
        <w:spacing w:after="200" w:line="276"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C">
      <w:pPr>
        <w:spacing w:after="200" w:line="276"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p w:rsidR="00000000" w:rsidDel="00000000" w:rsidP="00000000" w:rsidRDefault="00000000" w:rsidRPr="00000000" w14:paraId="0000000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Figures</w:t>
      </w:r>
    </w:p>
    <w:p w:rsidR="00000000" w:rsidDel="00000000" w:rsidP="00000000" w:rsidRDefault="00000000" w:rsidRPr="00000000" w14:paraId="0000000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Tables</w:t>
      </w:r>
    </w:p>
    <w:p w:rsidR="00000000" w:rsidDel="00000000" w:rsidP="00000000" w:rsidRDefault="00000000" w:rsidRPr="00000000" w14:paraId="0000001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tab/>
      </w:r>
    </w:p>
    <w:p w:rsidR="00000000" w:rsidDel="00000000" w:rsidP="00000000" w:rsidRDefault="00000000" w:rsidRPr="00000000" w14:paraId="0000001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 project leadership and entrepreneurship (group evaluation)</w:t>
      </w:r>
    </w:p>
    <w:p w:rsidR="00000000" w:rsidDel="00000000" w:rsidP="00000000" w:rsidRDefault="00000000" w:rsidRPr="00000000" w14:paraId="00000012">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Agile approach to project management and leadership, project risks, social, legal, and ethical </w:t>
      </w:r>
      <w:r w:rsidDel="00000000" w:rsidR="00000000" w:rsidRPr="00000000">
        <w:rPr>
          <w:rFonts w:ascii="Times New Roman" w:cs="Times New Roman" w:eastAsia="Times New Roman" w:hAnsi="Times New Roman"/>
          <w:b w:val="1"/>
          <w:bCs w:val="1"/>
          <w:sz w:val="24"/>
          <w:szCs w:val="24"/>
          <w:rtl w:val="0"/>
        </w:rPr>
        <w:t xml:space="preserve">considerations</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 Scrum Framework</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is described as a methodology that is fundamentally different from existing approaches: </w:t>
      </w:r>
    </w:p>
    <w:p w:rsidR="00000000" w:rsidDel="00000000" w:rsidP="00000000" w:rsidRDefault="00000000" w:rsidRPr="00000000" w14:paraId="0000001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Management is led by the “Product Manager”.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Development Teams are small, cross-functional teams of between three and six people.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The Sprints phase is an empirical process.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finality of the deliverable(s) of the “Sprints” phase is explicitly left open. (Remember to reference: </w:t>
      </w:r>
      <w:hyperlink r:id="rId6">
        <w:r w:rsidDel="00000000" w:rsidR="00000000" w:rsidRPr="00000000">
          <w:rPr>
            <w:rFonts w:ascii="Times New Roman" w:cs="Times New Roman" w:eastAsia="Times New Roman" w:hAnsi="Times New Roman"/>
            <w:color w:val="1155cc"/>
            <w:sz w:val="24"/>
            <w:szCs w:val="24"/>
            <w:u w:val="single"/>
            <w:rtl w:val="0"/>
          </w:rPr>
          <w:t xml:space="preserve">Scrum: A Brief History of a Long-Lived Hype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“Sprints are used to evolve the final product. […] Iterative Sprints, until the product is deemed ready for distribution.” (Remember to reference by Gunther Verheyen, December 2020 ).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Scrum framework, there are very important processes that drive Scrum or have driven the methodology to produce the excellent results it has over the years in software development, and they include: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Scrum Meeting: a short daily team meeting  (same time and place). This process involves the Ticket flow team discussing what they have completed, what they will work on next, and anything blocking their progress.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Sprint: A fixed period in which selected work is completed. For example, the Ticket Flow team chooses some backlog items, such as Login and Event Creation, and spends the Sprint designing, coding, testing, and completing them.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Backlog: Prioritized list of work that needs to be done: In this case, the Ticket Flow team lists features such as Login, Admin Portal, Event creation, and Reports, then prioritizes them.</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Scrum Master: a team leader who helps Scrum run effectively, helping team members and resolving blocks.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Scrum Team: a self-organized team structure to produce and effectively build a useful deliverable in a Sprint:  Developers, designers, testers, and other necessary specialists collaborate to produce the working software increment of “TicketFlow”.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1.1.2 Evaluation of Agile Approach</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1.1.3 Project Risk Analysis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of five developers with mixed experience levels faced material risks developing TicketFlow in a fixed 6-week sprint on an unfamiliar stack (MongoDB transactions, Server-Sent Events, cryptographic token handling, and AI-assisted features). Three risk categories emerged: team/collaboration risks, schedule/resource risks, and product/technical risks.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Team &amp; Collaboration Risks</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skill disparity and the communication breakdown were the main risks for the team. Two developers had no experience with MongoDB; none had built real-time systems with SSE; only one had experience with cryptographic operations. This was mitigated through pair programming on critical paths (database transactions, authentication), two 1-week spikes exploring unfamiliar technology before sprint commitment, and a code review standard requiring inline annotations explaining why concurrency-critical code is necessary. Before the merge, all authentication and payment logic was vetted by one dedicated member with more knowledgeable experience.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Schedule &amp; Resource Risks</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scheduling risk was building five advanced features (concurrent inventory control, real-time dashboards, cryptographic tokens, anomaly detection, and NL query parser) in six weeks with a learning curve on each. This was mitigated through the use of the MoSCoW prioritisation technique: MUST-have features (ticketing, check-in, basic RBAC) were locked in; SHOULD-have features (live dashboard, guest import) were completed; COULD-have features (anomaly detector and NL parser) were built with acknowledged limitations; and WON'T features were ignored. Each feature had a merge deadline to prevent indefinite tweaking, and "Definition of Done" included unit tests, integration tests, and code review sign-off (Wikipedia contributors, 2026).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&amp; Technical Risks</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Concurrency correctness, security, and audit integrity were the highest-impact risks. Sequence diagrams explicitly modelled the race conditions in oversell and double-admission scenarios before code was written. MongoDB replica set (required for transactions) was enforced in development (docker-compose.yml), so developers tested against production-equivalent infrastructure. Explicit concurrency tests (TC-CONC-01, TC-CONC-02) fired two concurrent operations and verified exactly one succeeded; load testing with k6 simulated 50 concurrent buyers and confirmed no oversell.</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vulnerabilities (token guessing and fake webhooks) were mitigated through a code review checklist (cryptographic RNG, timing-safe comparison, and no hardcoded secrets) and unit tests verifying timing-side-channel resistance. Audit trail integrity was protected by writing audit logs inside the same transaction as status changes; all-or-nothing semantics ensure every admission/revocation is recorded or the entire operation rolls back. Memory leaks from unbounded SSE listeners were prevented through explicit cleanup on socket close and a memory profile test.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1.1.4 Social, Legal, and Ethical Considerations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TicketFlow was guided by rigorous social, legal, and ethical standards, aligning with the British Computer Society (BCS) Code of Conduct to ensure public interest and data integrity were prioritised (</w:t>
      </w:r>
      <w:r w:rsidDel="00000000" w:rsidR="00000000" w:rsidRPr="00000000">
        <w:rPr>
          <w:rFonts w:ascii="Times New Roman" w:cs="Times New Roman" w:eastAsia="Times New Roman" w:hAnsi="Times New Roman"/>
          <w:i w:val="1"/>
          <w:iCs w:val="1"/>
          <w:sz w:val="24"/>
          <w:szCs w:val="24"/>
          <w:rtl w:val="0"/>
        </w:rPr>
        <w:t xml:space="preserve">BCS Code of Conduct</w:t>
      </w:r>
      <w:r w:rsidDel="00000000" w:rsidR="00000000" w:rsidRPr="00000000">
        <w:rPr>
          <w:rFonts w:ascii="Times New Roman" w:cs="Times New Roman" w:eastAsia="Times New Roman" w:hAnsi="Times New Roman"/>
          <w:sz w:val="24"/>
          <w:szCs w:val="24"/>
          <w:rtl w:val="0"/>
        </w:rPr>
        <w:t xml:space="preserve">, n.d.).</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Legal Considerations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Strict adherence to the General Data Protection Regulation (GDPR) was fundamental to the platform's architecture. A comprehensive data retention and erasure sweep was implemented, automating the removal of legacy user data to guarantee the "right to be forgotten" (</w:t>
      </w:r>
      <w:r w:rsidDel="00000000" w:rsidR="00000000" w:rsidRPr="00000000">
        <w:rPr>
          <w:rFonts w:ascii="Times New Roman" w:cs="Times New Roman" w:eastAsia="Times New Roman" w:hAnsi="Times New Roman"/>
          <w:i w:val="1"/>
          <w:iCs w:val="1"/>
          <w:sz w:val="24"/>
          <w:szCs w:val="24"/>
          <w:rtl w:val="0"/>
        </w:rPr>
        <w:t xml:space="preserve">Art. 17 GDPR – Right to Erasure (‘Right to Be Forgotten’) - General Data Protection Regulation (GDPR)</w:t>
      </w:r>
      <w:r w:rsidDel="00000000" w:rsidR="00000000" w:rsidRPr="00000000">
        <w:rPr>
          <w:rFonts w:ascii="Times New Roman" w:cs="Times New Roman" w:eastAsia="Times New Roman" w:hAnsi="Times New Roman"/>
          <w:sz w:val="24"/>
          <w:szCs w:val="24"/>
          <w:rtl w:val="0"/>
        </w:rPr>
        <w:t xml:space="preserve">, 2017). Additionally, financial security was legally safeguarded by offloading card processing to Paystack. By explicitly rejecting client-reported payment statuses and exclusively relying on server-side HMAC-SHA512 webhook verification, the system mathematically guarantees transaction authenticity and protects users from spoofing (ICO, n.d.).</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w:t>
      </w:r>
      <w:r w:rsidDel="00000000" w:rsidR="00000000" w:rsidRPr="00000000">
        <w:rPr>
          <w:rtl w:val="0"/>
        </w:rPr>
      </w:r>
    </w:p>
    <w:p w:rsidR="00000000" w:rsidDel="00000000" w:rsidP="00000000" w:rsidRDefault="00000000" w:rsidRPr="00000000" w14:paraId="00000043">
      <w:pPr>
        <w:spacing w:after="0" w:lineRule="auto"/>
        <w:ind w:left="108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Paystack HMAC webhook verification function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37150" cy="3302000"/>
            <wp:effectExtent b="0" l="0" r="0" t="0"/>
            <wp:docPr id="26"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593715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Social Considerations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fulfil our social obligation of digital inclusivity, the Next.js frontend was subjected to a targeted accessibility audit. New UI components were validated against WCAG 2.2 AA standards. This ensures that users relying on screen readers or keyboard navigation can seamlessly access the event discovery platform and invite-only checkout flows without systemic barriers (</w:t>
      </w:r>
      <w:r w:rsidDel="00000000" w:rsidR="00000000" w:rsidRPr="00000000">
        <w:rPr>
          <w:rFonts w:ascii="Times New Roman" w:cs="Times New Roman" w:eastAsia="Times New Roman" w:hAnsi="Times New Roman"/>
          <w:i w:val="1"/>
          <w:iCs w:val="1"/>
          <w:sz w:val="24"/>
          <w:szCs w:val="24"/>
          <w:rtl w:val="0"/>
        </w:rPr>
        <w:t xml:space="preserve">Web Content Accessibility Guidelines (WCAG) 2.2</w:t>
      </w:r>
      <w:r w:rsidDel="00000000" w:rsidR="00000000" w:rsidRPr="00000000">
        <w:rPr>
          <w:rFonts w:ascii="Times New Roman" w:cs="Times New Roman" w:eastAsia="Times New Roman" w:hAnsi="Times New Roman"/>
          <w:sz w:val="24"/>
          <w:szCs w:val="24"/>
          <w:rtl w:val="0"/>
        </w:rPr>
        <w:t xml:space="preserve">, 2024).</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w:t>
      </w:r>
      <w:r w:rsidDel="00000000" w:rsidR="00000000" w:rsidRPr="00000000">
        <w:rPr>
          <w:rtl w:val="0"/>
        </w:rPr>
      </w:r>
    </w:p>
    <w:p w:rsidR="00000000" w:rsidDel="00000000" w:rsidP="00000000" w:rsidRDefault="00000000" w:rsidRPr="00000000" w14:paraId="0000004A">
      <w:pPr>
        <w:spacing w:after="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Lighthouse accessibility score</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37150" cy="3644900"/>
            <wp:effectExtent b="0" l="0" r="0" t="0"/>
            <wp:docPr id="1"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593715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Ethical Considerations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machine learning—specifically the no-show predictor and scan-anomaly detector—introduces ethical risks regarding algorithmic bias and opaque decision-making. To ensure ethical transparency, the platform utilises an immutable AuditLog collection that records every QR scan outcome (success or rejection). This audit trail feeds the anomaly detector but also ensures human door staff can override AI-flagged anomalies, preventing unfair denial of entry (</w:t>
      </w:r>
      <w:r w:rsidDel="00000000" w:rsidR="00000000" w:rsidRPr="00000000">
        <w:rPr>
          <w:rFonts w:ascii="Times New Roman" w:cs="Times New Roman" w:eastAsia="Times New Roman" w:hAnsi="Times New Roman"/>
          <w:i w:val="1"/>
          <w:iCs w:val="1"/>
          <w:sz w:val="24"/>
          <w:szCs w:val="24"/>
          <w:rtl w:val="0"/>
        </w:rPr>
        <w:t xml:space="preserve">AI Act</w:t>
      </w:r>
      <w:r w:rsidDel="00000000" w:rsidR="00000000" w:rsidRPr="00000000">
        <w:rPr>
          <w:rFonts w:ascii="Times New Roman" w:cs="Times New Roman" w:eastAsia="Times New Roman" w:hAnsi="Times New Roman"/>
          <w:sz w:val="24"/>
          <w:szCs w:val="24"/>
          <w:rtl w:val="0"/>
        </w:rPr>
        <w:t xml:space="preserve">, 2026). Furthermore, the performance of the scikit-learn model was rigorously evaluated for precision, recall, and F1 scores to ensure the algorithm does not disproportionately penalise specific user demographics.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evaluation report for the ‘no-show prediction’ feature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419725" cy="3743325"/>
            <wp:effectExtent b="0" l="0" r="0" t="0"/>
            <wp:docPr id="19"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419725"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1.1.5 Team Member Contribution</w:t>
      </w:r>
    </w:p>
    <w:p w:rsidR="00000000" w:rsidDel="00000000" w:rsidP="00000000" w:rsidRDefault="00000000" w:rsidRPr="00000000" w14:paraId="00000056">
      <w:pPr>
        <w:spacing w:after="0" w:line="276" w:lineRule="auto"/>
        <w:rPr>
          <w:rFonts w:ascii="Times New Roman" w:cs="Times New Roman" w:eastAsia="Times New Roman" w:hAnsi="Times New Roman"/>
          <w:b w:val="1"/>
          <w:bCs w:val="1"/>
          <w:i w:val="1"/>
          <w:iCs w:val="1"/>
          <w:color w:val="1f1f1f"/>
          <w:sz w:val="24"/>
          <w:szCs w:val="24"/>
        </w:rPr>
      </w:pPr>
      <w:r w:rsidDel="00000000" w:rsidR="00000000" w:rsidRPr="00000000">
        <w:rPr>
          <w:rtl w:val="0"/>
        </w:rPr>
      </w:r>
    </w:p>
    <w:tbl>
      <w:tblPr>
        <w:tblStyle w:val="Table1"/>
        <w:tblpPr w:leftFromText="180" w:rightFromText="180" w:topFromText="180" w:bottomFromText="180" w:vertAnchor="text" w:horzAnchor="text" w:tblpX="1065" w:tblpY="0"/>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605"/>
        <w:gridCol w:w="4890"/>
        <w:tblGridChange w:id="0">
          <w:tblGrid>
            <w:gridCol w:w="1770"/>
            <w:gridCol w:w="1605"/>
            <w:gridCol w:w="489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Name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Role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9">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Contributions</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A">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Marvellous Adetunji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Frontend Developer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Led the development of the frontend web application. Implemented the client-side secure Paystack payment flow, built the real-time Server-Sent Events (SSE) live arrivals dashboard, managed lightweight custom state stores, and executed UI/theme polishing.</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Olasubomi Abiola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E">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UI/UX&amp; Tester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F">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Designed the user interface and experience flows. Ensured the platform components successfully passed the WCAG 2.2 AA accessibility audits and optimized the user journey for the invite-only guest management and ticket discovery features.</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0">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Opeyemi Akoki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1">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DevOps Engineer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2">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Engineered the Docker Compose infrastructure, including the critical single-node MongoDB replica set required for transactions. Configured GitHub Actions CI pipelines and Playwright E2E test environments.</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3">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Ofejiro Ederhi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4">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Backend Developer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Architected the layered backend and unified Mongoose models. Implemented atomic database transactions for race-proof door check-ins, built the server-side HMAC-SHA512 Paystack webhook verification, and integrated the AI/ML pipelines.</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Desmond Ijeoma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7">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Project Manager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8">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Facilitated the agile development approach and phase-by-phase execution. Managed the GDPR retention/erasure sweeps, documented project risks, and ensured feature alignment with the module's entrepreneurship and complexity grading criteria.</w:t>
            </w:r>
          </w:p>
        </w:tc>
      </w:tr>
    </w:tbl>
    <w:p w:rsidR="00000000" w:rsidDel="00000000" w:rsidP="00000000" w:rsidRDefault="00000000" w:rsidRPr="00000000" w14:paraId="00000069">
      <w:pPr>
        <w:spacing w:after="0" w:lineRule="auto"/>
        <w:ind w:left="0" w:firstLine="0"/>
        <w:rPr>
          <w:rFonts w:ascii="Times New Roman" w:cs="Times New Roman" w:eastAsia="Times New Roman" w:hAnsi="Times New Roman"/>
          <w:b w:val="1"/>
          <w:bCs w:val="1"/>
          <w:i w:val="1"/>
          <w:iCs w:val="1"/>
          <w:color w:val="1f1f1f"/>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1.1.6 Market Research</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UK event ticketing industry presents a massive commercial opportunity, with live music alone recently generating £6.68 billion and 23.1 million ticket sales, a figure that excludes a vastly broader market of sports, conferences, and community gatherings (</w:t>
      </w:r>
      <w:r w:rsidDel="00000000" w:rsidR="00000000" w:rsidRPr="00000000">
        <w:rPr>
          <w:rFonts w:ascii="Times New Roman" w:cs="Times New Roman" w:eastAsia="Times New Roman" w:hAnsi="Times New Roman"/>
          <w:i w:val="1"/>
          <w:iCs w:val="1"/>
          <w:sz w:val="24"/>
          <w:szCs w:val="24"/>
          <w:rtl w:val="0"/>
        </w:rPr>
        <w:t xml:space="preserve">UK Live Music Industry Statistics | 2026 Edition</w:t>
      </w:r>
      <w:r w:rsidDel="00000000" w:rsidR="00000000" w:rsidRPr="00000000">
        <w:rPr>
          <w:rFonts w:ascii="Times New Roman" w:cs="Times New Roman" w:eastAsia="Times New Roman" w:hAnsi="Times New Roman"/>
          <w:sz w:val="24"/>
          <w:szCs w:val="24"/>
          <w:rtl w:val="0"/>
        </w:rPr>
        <w:t xml:space="preserve">, n.d.). Despite the presence of established competitors like Eventbrite and Ticketmaster, organisers and attendees continue to face significant friction, including exorbitant booking fees, opaque pricing, ticket fraud, and slow payouts. TicketFlow addresses these critical market gaps by providing a highly reliable and flexible platform for in-person, online, and hybrid events. Competing on simplicity and transparent pricing, the system features seamless event creation, secure QR-code ticket validation, and live attendance analytics. To ensure a trustworthy experience and mitigate inherent industry risks like cybersecurity threats and payment disputes, TicketFlow is fortified with strict GDPR compliance, robust organiser verification, and secure payment processing.</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w:t>
      </w:r>
    </w:p>
    <w:p w:rsidR="00000000" w:rsidDel="00000000" w:rsidP="00000000" w:rsidRDefault="00000000" w:rsidRPr="00000000" w14:paraId="0000006F">
      <w:pPr>
        <w:spacing w:after="0" w:line="259.008" w:lineRule="auto"/>
        <w:ind w:left="1080" w:firstLine="0"/>
        <w:rPr/>
      </w:pPr>
      <w:r w:rsidDel="00000000" w:rsidR="00000000" w:rsidRPr="00000000">
        <w:rPr>
          <w:rFonts w:ascii="Times New Roman" w:cs="Times New Roman" w:eastAsia="Times New Roman" w:hAnsi="Times New Roman"/>
          <w:i w:val="1"/>
          <w:iCs w:val="1"/>
          <w:sz w:val="24"/>
          <w:szCs w:val="24"/>
          <w:rtl w:val="0"/>
        </w:rPr>
        <w:t xml:space="preserve">Competitor comparison: TicketFlow's advantages</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37150" cy="3695700"/>
            <wp:effectExtent b="0" l="0" r="0" t="0"/>
            <wp:docPr id="7"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3715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 artefacts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reports on the significant work completed by the team across design, implementation, and testing of TicketFlow — an event ticketing platform built with robust guest management capabilities, enabling live door check-in, audit logging, and AI-assisted operations. The system brings together paid ticket sales and invite-only guest admissions under a single unified admission model, supported by real-time event dashboards and anomaly detection for operational security.</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line="259.008"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Stack:</w:t>
      </w:r>
      <w:r w:rsidDel="00000000" w:rsidR="00000000" w:rsidRPr="00000000">
        <w:rPr>
          <w:rFonts w:ascii="Times New Roman" w:cs="Times New Roman" w:eastAsia="Times New Roman" w:hAnsi="Times New Roman"/>
          <w:sz w:val="24"/>
          <w:szCs w:val="24"/>
          <w:rtl w:val="0"/>
        </w:rPr>
        <w:t xml:space="preserve"> The technical stack comprises Node.js, Express.js, MongoDB, and Mongoose for the backend, and Next.js with TypeScript for the frontend.</w:t>
      </w:r>
    </w:p>
    <w:p w:rsidR="00000000" w:rsidDel="00000000" w:rsidP="00000000" w:rsidRDefault="00000000" w:rsidRPr="00000000" w14:paraId="00000076">
      <w:pPr>
        <w:spacing w:after="0" w:line="259.008"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Design</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Architecture Overview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implements a multilayered architecture that enforces separation of concerns at the code level, making business logic testable without HTTP or database dependencies, and preventing the common anti-pattern of mixing persistence, business rules, and HTTP concerns in a single code path.</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TicketFlow’s layered Architecture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37150" cy="3124200"/>
            <wp:effectExtent b="0" l="0" r="0" t="0"/>
            <wp:docPr id="15"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9371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37150" cy="12192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3715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37150" cy="3683000"/>
            <wp:effectExtent b="0" l="0" r="0" t="0"/>
            <wp:docPr id="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3715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37150" cy="4318000"/>
            <wp:effectExtent b="0" l="0" r="0" t="0"/>
            <wp:docPr id="25"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93715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37150" cy="2921000"/>
            <wp:effectExtent b="0" l="0" r="0" t="0"/>
            <wp:docPr id="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3715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layering addresses </w:t>
      </w:r>
      <w:r w:rsidDel="00000000" w:rsidR="00000000" w:rsidRPr="00000000">
        <w:rPr>
          <w:rFonts w:ascii="Times New Roman" w:cs="Times New Roman" w:eastAsia="Times New Roman" w:hAnsi="Times New Roman"/>
          <w:i w:val="1"/>
          <w:iCs w:val="1"/>
          <w:sz w:val="24"/>
          <w:szCs w:val="24"/>
          <w:rtl w:val="0"/>
        </w:rPr>
        <w:t xml:space="preserve">maintainability </w:t>
      </w:r>
      <w:r w:rsidDel="00000000" w:rsidR="00000000" w:rsidRPr="00000000">
        <w:rPr>
          <w:rFonts w:ascii="Times New Roman" w:cs="Times New Roman" w:eastAsia="Times New Roman" w:hAnsi="Times New Roman"/>
          <w:sz w:val="24"/>
          <w:szCs w:val="24"/>
          <w:rtl w:val="0"/>
        </w:rPr>
        <w:t xml:space="preserve">(modularity and</w:t>
      </w:r>
      <w:r w:rsidDel="00000000" w:rsidR="00000000" w:rsidRPr="00000000">
        <w:rPr>
          <w:rFonts w:ascii="Times New Roman" w:cs="Times New Roman" w:eastAsia="Times New Roman" w:hAnsi="Times New Roman"/>
          <w:sz w:val="24"/>
          <w:szCs w:val="24"/>
          <w:rtl w:val="0"/>
        </w:rPr>
        <w:t xml:space="preserve"> code reusability), </w:t>
      </w:r>
      <w:r w:rsidDel="00000000" w:rsidR="00000000" w:rsidRPr="00000000">
        <w:rPr>
          <w:rFonts w:ascii="Times New Roman" w:cs="Times New Roman" w:eastAsia="Times New Roman" w:hAnsi="Times New Roman"/>
          <w:i w:val="1"/>
          <w:iCs w:val="1"/>
          <w:sz w:val="24"/>
          <w:szCs w:val="24"/>
          <w:rtl w:val="0"/>
        </w:rPr>
        <w:t xml:space="preserve">reliability</w:t>
      </w:r>
      <w:r w:rsidDel="00000000" w:rsidR="00000000" w:rsidRPr="00000000">
        <w:rPr>
          <w:rFonts w:ascii="Times New Roman" w:cs="Times New Roman" w:eastAsia="Times New Roman" w:hAnsi="Times New Roman"/>
          <w:sz w:val="24"/>
          <w:szCs w:val="24"/>
          <w:rtl w:val="0"/>
        </w:rPr>
        <w:t xml:space="preserve"> (testability without external dependencies), and </w:t>
      </w:r>
      <w:r w:rsidDel="00000000" w:rsidR="00000000" w:rsidRPr="00000000">
        <w:rPr>
          <w:rFonts w:ascii="Times New Roman" w:cs="Times New Roman" w:eastAsia="Times New Roman" w:hAnsi="Times New Roman"/>
          <w:i w:val="1"/>
          <w:i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(centralised authorisation checks in a single layer, not scattered across controllers).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Model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TicketFlow’s data model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962525" cy="8824913"/>
            <wp:effectExtent b="0" l="0" r="0" t="0"/>
            <wp:docPr id="5"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962525" cy="8824913"/>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Entity-Relationship Diagram</w:t>
        <w:br w:type="textWrapping"/>
      </w:r>
      <w:r w:rsidDel="00000000" w:rsidR="00000000" w:rsidRPr="00000000">
        <w:rPr>
          <w:rtl w:val="0"/>
        </w:rPr>
      </w:r>
    </w:p>
    <w:p w:rsidR="00000000" w:rsidDel="00000000" w:rsidP="00000000" w:rsidRDefault="00000000" w:rsidRPr="00000000" w14:paraId="00000095">
      <w:pPr>
        <w:spacing w:after="0" w:lineRule="auto"/>
        <w:ind w:left="10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w:t>
      </w:r>
    </w:p>
    <w:p w:rsidR="00000000" w:rsidDel="00000000" w:rsidP="00000000" w:rsidRDefault="00000000" w:rsidRPr="00000000" w14:paraId="00000096">
      <w:pPr>
        <w:spacing w:after="0" w:lineRule="auto"/>
        <w:ind w:left="108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TicketFlow’s entity-relationship diagram</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Domain Class Model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UML class diagram showing entities and their relationships at the business-logic level: </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Figure</w:t>
      </w:r>
    </w:p>
    <w:p w:rsidR="00000000" w:rsidDel="00000000" w:rsidP="00000000" w:rsidRDefault="00000000" w:rsidRPr="00000000" w14:paraId="0000009B">
      <w:pPr>
        <w:spacing w:after="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TicketFlow’s domain class model </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 Cases &amp; Actors</w:t>
        <w:br w:type="textWrapping"/>
      </w:r>
      <w:r w:rsidDel="00000000" w:rsidR="00000000" w:rsidRPr="00000000">
        <w:rPr>
          <w:rtl w:val="0"/>
        </w:rPr>
      </w:r>
    </w:p>
    <w:p w:rsidR="00000000" w:rsidDel="00000000" w:rsidP="00000000" w:rsidRDefault="00000000" w:rsidRPr="00000000" w14:paraId="0000009E">
      <w:pPr>
        <w:spacing w:after="0" w:lineRule="auto"/>
        <w:ind w:left="10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w:t>
      </w:r>
    </w:p>
    <w:p w:rsidR="00000000" w:rsidDel="00000000" w:rsidP="00000000" w:rsidRDefault="00000000" w:rsidRPr="00000000" w14:paraId="0000009F">
      <w:pPr>
        <w:spacing w:after="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TicketFlow’s use case diagram</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37150" cy="850900"/>
            <wp:effectExtent b="0" l="0" r="0" t="0"/>
            <wp:docPr id="1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3715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Implementation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0" w:line="259.008"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Cardo" w:cs="Cardo" w:eastAsia="Cardo" w:hAnsi="Cardo"/>
          <w:sz w:val="24"/>
          <w:szCs w:val="24"/>
          <w:rtl w:val="0"/>
        </w:rPr>
        <w:t xml:space="preserve">his section examines the fundamental features that illustrate how TicketFlow was built. Attendees browse events and purchase tickets via a reserve-then-pay-then-confirm flow where inventory is held atomically, ensuring buyers are never charged without a guaranteed ticket. Organisers can choose public ticketed, invite-only, or hybrid access modes, which the system unifies under a single admission model for identical check-in handling at the door. Behind this simplicity, a strict four-layer architecture (Presentation → Service → Repository → Model) is enforced: controllers parse HTTP input for services, services orchestrate business logic inside transactions, repositories encapsulate database queries, and models handle schema validation. This clear separation ensures that business logic remains fully testable without HTTP or database dependencies.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createBooking() showing HTTP parsing and delegation to service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429250" cy="4143375"/>
            <wp:effectExtent b="0" l="0" r="0" t="0"/>
            <wp:docPr id="28"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429250"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bookingService.js showing reserve-confirm flow with transaction orchestration</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37150" cy="5715000"/>
            <wp:effectExtent b="0" l="0" r="0" t="0"/>
            <wp:docPr id="9"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3715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w:t>
      </w:r>
    </w:p>
    <w:p w:rsidR="00000000" w:rsidDel="00000000" w:rsidP="00000000" w:rsidRDefault="00000000" w:rsidRPr="00000000" w14:paraId="000000B6">
      <w:pPr>
        <w:spacing w:after="0" w:line="259.008" w:lineRule="auto"/>
        <w:ind w:left="108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bookingRepository.js showing clean data-access interface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848350" cy="6124575"/>
            <wp:effectExtent b="0" l="0" r="0" t="0"/>
            <wp:docPr id="24"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848350" cy="612457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w:t>
      </w:r>
    </w:p>
    <w:p w:rsidR="00000000" w:rsidDel="00000000" w:rsidP="00000000" w:rsidRDefault="00000000" w:rsidRPr="00000000" w14:paraId="000000BA">
      <w:pPr>
        <w:spacing w:after="0" w:line="259.008" w:lineRule="auto"/>
        <w:ind w:left="108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bookingModel.js showing Event and Booking schemas with conditional validators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37150" cy="5905500"/>
            <wp:effectExtent b="0" l="0" r="0" t="0"/>
            <wp:docPr id="23"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93715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TicketFlow ensures race-free ticket inventory by executing MongoDB guards ($gte) and decrements ($inc) in a single atomic operation, eliminating read-then-write gaps during simultaneous purchases. This guarded atomic update pattern is replicated for single-use door admissions: a booking's status updates from {issued, delivered, scanned} → admitted only if the current state matches. Concurrent scans find the status is already 'admitted' and are rejected with HTTP 409. Concurrency tests simulating simultaneous operations against limited resources prove both patterns are race-free.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eventRepository.reserveTicketInventory() with $elemMatch guard and $inc</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37150" cy="4102100"/>
            <wp:effectExtent b="0" l="0" r="0" t="0"/>
            <wp:docPr id="11"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3715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3">
      <w:pPr>
        <w:spacing w:after="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bookingService.reserveBooking() showing session.withTransaction() wrapper</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37150" cy="5740400"/>
            <wp:effectExtent b="0" l="0" r="0" t="0"/>
            <wp:docPr id="14"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93715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0" w:lineRule="auto"/>
        <w:ind w:left="10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spacing w:after="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w:t>
      </w:r>
      <w:r w:rsidDel="00000000" w:rsidR="00000000" w:rsidRPr="00000000">
        <w:rPr>
          <w:rtl w:val="0"/>
        </w:rPr>
      </w:r>
    </w:p>
    <w:p w:rsidR="00000000" w:rsidDel="00000000" w:rsidP="00000000" w:rsidRDefault="00000000" w:rsidRPr="00000000" w14:paraId="000000C8">
      <w:pPr>
        <w:spacing w:after="0" w:lineRule="auto"/>
        <w:ind w:left="108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bookingRepository.admitById() with conditional status guard </w:t>
      </w:r>
    </w:p>
    <w:p w:rsidR="00000000" w:rsidDel="00000000" w:rsidP="00000000" w:rsidRDefault="00000000" w:rsidRPr="00000000" w14:paraId="000000C9">
      <w:pPr>
        <w:spacing w:after="0" w:lineRule="auto"/>
        <w:ind w:left="10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76925" cy="2200275"/>
            <wp:effectExtent b="0" l="0" r="0" t="0"/>
            <wp:docPr id="17"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876925"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0" w:lineRule="auto"/>
        <w:ind w:left="10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B">
      <w:pPr>
        <w:spacing w:after="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admissionService.checkInByScan() full transaction scope including audit log write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81675" cy="3629025"/>
            <wp:effectExtent b="0" l="0" r="0" t="0"/>
            <wp:docPr id="10"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781675"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visibility is delivered through Server-Sent Events (SSE): when door staff admit a guest, admissionService emits an event that reaches only the authorised organiser's dashboard with no page refresh. SSE listeners are cleaned up explicitly when browser connections close (req.on('close') removes the listener and clears the heartbeat interval), preventing a memory leak.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dashboardController.streamEvent() showing SSE headers, snapshot, listener setup with per-event filter, heartbeat, and cleanup</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6276975"/>
            <wp:effectExtent b="0" l="0" r="0" t="0"/>
            <wp:docPr id="27"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734050" cy="627697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Dashboard page showing guest data being fetched and updated in real time </w:t>
      </w:r>
      <w:r w:rsidDel="00000000" w:rsidR="00000000" w:rsidRPr="00000000">
        <w:rPr>
          <w:rFonts w:ascii="Times New Roman" w:cs="Times New Roman" w:eastAsia="Times New Roman" w:hAnsi="Times New Roman"/>
          <w:sz w:val="24"/>
          <w:szCs w:val="24"/>
        </w:rPr>
        <w:drawing>
          <wp:inline distB="114300" distT="114300" distL="114300" distR="114300">
            <wp:extent cx="5048250" cy="5705475"/>
            <wp:effectExtent b="0" l="0" r="0" t="0"/>
            <wp:docPr id="22"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048250" cy="570547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leak test with heap sampling before/after 20 connections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37150" cy="5511800"/>
            <wp:effectExtent b="0" l="0" r="0" t="0"/>
            <wp:docPr id="21"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93715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24"/>
          <w:szCs w:val="24"/>
          <w:rtl w:val="0"/>
        </w:rPr>
        <w:t xml:space="preserve">nvite tokens are generated using crypto.randomBytes(24) instead of Math.random(), and Paystack webhooks are verified by recomputing HMAC-SHA512 over the raw request body via crypto.timingSafeEqual() to prevent timing side-channels. Unit tests confirm signature correctness and timing safety across both execution paths.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inviteToken.js using crypto.randomBytes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53100" cy="2038350"/>
            <wp:effectExtent b="0" l="0" r="0" t="0"/>
            <wp:docPr id="20"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75310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paystack.js isValidPaystackSignature() with HMAC and timingSafeEqual</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37150" cy="5245100"/>
            <wp:effectExtent b="0" l="0" r="0" t="0"/>
            <wp:docPr id="18"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93715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Timing-safe verification unit test</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991100" cy="857250"/>
            <wp:effectExtent b="0" l="0" r="0" t="0"/>
            <wp:docPr id="12"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499110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model unifies paid purchases and organiser invites under one Booking collection rather than two parallel collections, eliminating dual-write consistency bugs. This normalisation is enforced at the schema level: fields like transactionNumber are mandatory only for purchased bookings (via conditional validator required: [function isPurchase() { return this.source === 'purchase'; }]), and invite-only events cannot be saved with sales dates—making invalid states literally unrepresentable. </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bookingModel.js conditional validator for purchase-only fields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857875" cy="5295900"/>
            <wp:effectExtent b="0" l="0" r="0" t="0"/>
            <wp:docPr id="4"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857875"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eventModel.js conditional validator for ticketed events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37150" cy="5918200"/>
            <wp:effectExtent b="0" l="0" r="0" t="0"/>
            <wp:docPr id="8"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937150"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0" w:line="259.008" w:lineRule="auto"/>
        <w:ind w:left="1080" w:firstLine="0"/>
        <w:rPr/>
      </w:pPr>
      <w:r w:rsidDel="00000000" w:rsidR="00000000" w:rsidRPr="00000000">
        <w:rPr>
          <w:rFonts w:ascii="Times New Roman" w:cs="Times New Roman" w:eastAsia="Times New Roman" w:hAnsi="Times New Roman"/>
          <w:sz w:val="24"/>
          <w:szCs w:val="24"/>
          <w:rtl w:val="0"/>
        </w:rPr>
        <w:t xml:space="preserve">The system utilises comprehensive inline comments, ESLint rules to block direct Mongoose controller calls, unit testing for pure functions, integration testing with real MongoDB for transactions and concurrency, and Playwright end-to-end workflows. Every pattern aligns with ISO 25010 quality attributes: concurrency and schema constraints guarantee Reliability, cryptography guarantees Security, a layered architecture guarantees Maintainability and Testability, and transactional logging guarantees Compliance.</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Testing</w:t>
      </w: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Usability was tested empirically against ISO 9241-11 (effectiveness, efficiency, satisfaction) using five participants — one Attendee, one Organiser, one Door staff — each completing a realistic task on the dev build.</w:t>
      </w:r>
    </w:p>
    <w:p w:rsidR="00000000" w:rsidDel="00000000" w:rsidP="00000000" w:rsidRDefault="00000000" w:rsidRPr="00000000" w14:paraId="000000FE">
      <w:pPr>
        <w:spacing w:after="0" w:line="259.008"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0" w:line="259.008"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[SCREENSHOTS — task tables; SUS scoring; results summary; defect log; before/after fix]</w:t>
      </w:r>
    </w:p>
    <w:p w:rsidR="00000000" w:rsidDel="00000000" w:rsidP="00000000" w:rsidRDefault="00000000" w:rsidRPr="00000000" w14:paraId="00000100">
      <w:pPr>
        <w:spacing w:after="0" w:line="259.008"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0" w:line="259.008"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Satisfaction used the standard SUS instrument (Brooke, 1996) plus per-task SEQ ratings. The highest-severity defect found was fixed and re-tested, closing the ISO 9241-210 design loop. Accessibility (WCAG 2.2 AA) was assessed separately, scoped honestly to the components actually modified.</w:t>
      </w:r>
      <w:r w:rsidDel="00000000" w:rsidR="00000000" w:rsidRPr="00000000">
        <w:rPr>
          <w:rtl w:val="0"/>
        </w:rPr>
      </w:r>
    </w:p>
    <w:p w:rsidR="00000000" w:rsidDel="00000000" w:rsidP="00000000" w:rsidRDefault="00000000" w:rsidRPr="00000000" w14:paraId="00000102">
      <w:pPr>
        <w:spacing w:after="0" w:line="259.008"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0" w:line="259.008"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 project leadership and entrepreneurship (individual evaluation)</w:t>
      </w:r>
    </w:p>
    <w:p w:rsidR="00000000" w:rsidDel="00000000" w:rsidP="00000000" w:rsidRDefault="00000000" w:rsidRPr="00000000" w14:paraId="00000106">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Principles and practice of leadership and people development </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highlight w:val="yellow"/>
          <w:u w:val="none"/>
          <w:vertAlign w:val="baseline"/>
          <w:rtl w:val="0"/>
        </w:rPr>
        <w:t xml:space="preserve">(Guideline: </w:t>
      </w:r>
      <w:r w:rsidDel="00000000" w:rsidR="00000000" w:rsidRPr="00000000">
        <w:rPr>
          <w:rFonts w:ascii="Times New Roman" w:cs="Times New Roman" w:eastAsia="Times New Roman" w:hAnsi="Times New Roman"/>
          <w:b w:val="1"/>
          <w:bCs w:val="1"/>
          <w:i w:val="1"/>
          <w:iCs w:val="1"/>
          <w:smallCaps w:val="0"/>
          <w:strike w:val="0"/>
          <w:color w:val="000000"/>
          <w:sz w:val="24"/>
          <w:szCs w:val="24"/>
          <w:highlight w:val="yellow"/>
          <w:u w:val="none"/>
          <w:vertAlign w:val="baseline"/>
          <w:rtl w:val="0"/>
        </w:rPr>
        <w:t xml:space="preserve">The following sub-sections should be completed by each of the team members as an individual and be signed off by the respective individual team members with their full names.</w:t>
      </w:r>
      <w:r w:rsidDel="00000000" w:rsidR="00000000" w:rsidRPr="00000000">
        <w:rPr>
          <w:rFonts w:ascii="Times New Roman" w:cs="Times New Roman" w:eastAsia="Times New Roman" w:hAnsi="Times New Roman"/>
          <w:i w:val="1"/>
          <w:iCs w:val="1"/>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highlight w:val="yellow"/>
          <w:u w:val="none"/>
          <w:vertAlign w:val="baseline"/>
          <w:rtl w:val="0"/>
        </w:rPr>
        <w:t xml:space="preserve">You are advised that</w:t>
      </w:r>
      <w:r w:rsidDel="00000000" w:rsidR="00000000" w:rsidRPr="00000000">
        <w:rPr>
          <w:rFonts w:ascii="Times New Roman" w:cs="Times New Roman" w:eastAsia="Times New Roman" w:hAnsi="Times New Roman"/>
          <w:i w:val="1"/>
          <w:iCs w:val="1"/>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highlight w:val="yellow"/>
          <w:u w:val="none"/>
          <w:vertAlign w:val="baseline"/>
          <w:rtl w:val="0"/>
        </w:rPr>
        <w:t xml:space="preserve">each member should focus on different aspects to report on</w:t>
      </w:r>
      <w:r w:rsidDel="00000000" w:rsidR="00000000" w:rsidRPr="00000000">
        <w:rPr>
          <w:rFonts w:ascii="Times New Roman" w:cs="Times New Roman" w:eastAsia="Times New Roman" w:hAnsi="Times New Roman"/>
          <w:i w:val="1"/>
          <w:iCs w:val="1"/>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highlight w:val="yellow"/>
          <w:u w:val="none"/>
          <w:vertAlign w:val="baseline"/>
          <w:rtl w:val="0"/>
        </w:rPr>
        <w:t xml:space="preserve">in relation to your own project group work</w:t>
      </w:r>
      <w:r w:rsidDel="00000000" w:rsidR="00000000" w:rsidRPr="00000000">
        <w:rPr>
          <w:rFonts w:ascii="Times New Roman" w:cs="Times New Roman" w:eastAsia="Times New Roman" w:hAnsi="Times New Roman"/>
          <w:i w:val="1"/>
          <w:iCs w:val="1"/>
          <w:smallCaps w:val="0"/>
          <w:strike w:val="0"/>
          <w:color w:val="000000"/>
          <w:sz w:val="24"/>
          <w:szCs w:val="24"/>
          <w:highlight w:val="yellow"/>
          <w:u w:val="none"/>
          <w:vertAlign w:val="baseline"/>
          <w:rtl w:val="0"/>
        </w:rPr>
        <w:t xml:space="preserve">, to avoid repetition and plagiarism. </w:t>
      </w:r>
      <w:r w:rsidDel="00000000" w:rsidR="00000000" w:rsidRPr="00000000">
        <w:rPr>
          <w:rFonts w:ascii="Times New Roman" w:cs="Times New Roman" w:eastAsia="Times New Roman" w:hAnsi="Times New Roman"/>
          <w:i w:val="1"/>
          <w:iCs w:val="1"/>
          <w:smallCaps w:val="0"/>
          <w:strike w:val="0"/>
          <w:color w:val="ee0000"/>
          <w:sz w:val="24"/>
          <w:szCs w:val="24"/>
          <w:highlight w:val="yellow"/>
          <w:u w:val="none"/>
          <w:vertAlign w:val="baseline"/>
          <w:rtl w:val="0"/>
        </w:rPr>
        <w:t xml:space="preserve">The word count guidance </w:t>
      </w:r>
      <w:r w:rsidDel="00000000" w:rsidR="00000000" w:rsidRPr="00000000">
        <w:rPr>
          <w:rFonts w:ascii="Times New Roman" w:cs="Times New Roman" w:eastAsia="Times New Roman" w:hAnsi="Times New Roman"/>
          <w:b w:val="1"/>
          <w:bCs w:val="1"/>
          <w:i w:val="1"/>
          <w:iCs w:val="1"/>
          <w:smallCaps w:val="0"/>
          <w:strike w:val="0"/>
          <w:color w:val="ee0000"/>
          <w:sz w:val="24"/>
          <w:szCs w:val="24"/>
          <w:highlight w:val="yellow"/>
          <w:u w:val="none"/>
          <w:vertAlign w:val="baseline"/>
          <w:rtl w:val="0"/>
        </w:rPr>
        <w:t xml:space="preserve">for each team member</w:t>
      </w:r>
      <w:r w:rsidDel="00000000" w:rsidR="00000000" w:rsidRPr="00000000">
        <w:rPr>
          <w:rFonts w:ascii="Times New Roman" w:cs="Times New Roman" w:eastAsia="Times New Roman" w:hAnsi="Times New Roman"/>
          <w:i w:val="1"/>
          <w:iCs w:val="1"/>
          <w:smallCaps w:val="0"/>
          <w:strike w:val="0"/>
          <w:color w:val="ee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ee0000"/>
          <w:sz w:val="24"/>
          <w:szCs w:val="24"/>
          <w:highlight w:val="yellow"/>
          <w:u w:val="none"/>
          <w:vertAlign w:val="baseline"/>
          <w:rtl w:val="0"/>
        </w:rPr>
        <w:t xml:space="preserve">in this section is 1,750 words</w:t>
      </w:r>
      <w:r w:rsidDel="00000000" w:rsidR="00000000" w:rsidRPr="00000000">
        <w:rPr>
          <w:rFonts w:ascii="Times New Roman" w:cs="Times New Roman" w:eastAsia="Times New Roman" w:hAnsi="Times New Roman"/>
          <w:i w:val="1"/>
          <w:iCs w:val="1"/>
          <w:smallCaps w:val="0"/>
          <w:strike w:val="0"/>
          <w:color w:val="ee0000"/>
          <w:sz w:val="24"/>
          <w:szCs w:val="24"/>
          <w:highlight w:val="yellow"/>
          <w:u w:val="none"/>
          <w:vertAlign w:val="baseline"/>
          <w:rtl w:val="0"/>
        </w:rPr>
        <w:t xml:space="preserve"> excluding the appendix A.  </w:t>
      </w:r>
      <w:r w:rsidDel="00000000" w:rsidR="00000000" w:rsidRPr="00000000">
        <w:rPr>
          <w:rFonts w:ascii="Times New Roman" w:cs="Times New Roman" w:eastAsia="Times New Roman" w:hAnsi="Times New Roman"/>
          <w:i w:val="1"/>
          <w:iCs w:val="1"/>
          <w:smallCaps w:val="0"/>
          <w:strike w:val="0"/>
          <w:color w:val="000000"/>
          <w:sz w:val="24"/>
          <w:szCs w:val="24"/>
          <w:highlight w:val="yellow"/>
          <w:u w:val="none"/>
          <w:vertAlign w:val="baseline"/>
          <w:rtl w:val="0"/>
        </w:rPr>
        <w:t xml:space="preserve">Please also see the Assessment Marking Criteria in the assignment brief for details. Please remove the redundant sections below, if you have less than 5 members in the team.)</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influence of leadership, culture and development on performance</w:t>
      </w:r>
    </w:p>
    <w:p w:rsidR="00000000" w:rsidDel="00000000" w:rsidP="00000000" w:rsidRDefault="00000000" w:rsidRPr="00000000" w14:paraId="00000109">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strategies which promote engagement and wellbeing as an enabler of individual and team performance</w:t>
      </w:r>
    </w:p>
    <w:p w:rsidR="00000000" w:rsidDel="00000000" w:rsidP="00000000" w:rsidRDefault="00000000" w:rsidRPr="00000000" w14:paraId="0000010A">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leadership development strategy which values people whilst optimising team and organisational success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highlight w:val="yellow"/>
          <w:u w:val="none"/>
          <w:vertAlign w:val="baseline"/>
          <w:rtl w:val="0"/>
        </w:rPr>
        <w:t xml:space="preserve">(Guideline: You should include a proposal of leadership development strategy in Appendix A1 which is excluded in the word count.)</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right"/>
        <w:rPr>
          <w:rFonts w:ascii="Times New Roman" w:cs="Times New Roman" w:eastAsia="Times New Roman" w:hAnsi="Times New Roman"/>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single"/>
          <w:shd w:fill="auto" w:val="clear"/>
          <w:vertAlign w:val="baseline"/>
          <w:rtl w:val="0"/>
        </w:rPr>
        <w:t xml:space="preserve">By team member 1: </w:t>
      </w:r>
      <w:r w:rsidDel="00000000" w:rsidR="00000000" w:rsidRPr="00000000">
        <w:rPr>
          <w:rFonts w:ascii="Times New Roman" w:cs="Times New Roman" w:eastAsia="Times New Roman" w:hAnsi="Times New Roman"/>
          <w:i w:val="1"/>
          <w:iCs w:val="1"/>
          <w:smallCaps w:val="0"/>
          <w:strike w:val="0"/>
          <w:color w:val="000000"/>
          <w:sz w:val="24"/>
          <w:szCs w:val="24"/>
          <w:highlight w:val="yellow"/>
          <w:u w:val="single"/>
          <w:vertAlign w:val="baseline"/>
          <w:rtl w:val="0"/>
        </w:rPr>
        <w:t xml:space="preserve">(full name)</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right"/>
        <w:rPr>
          <w:rFonts w:ascii="Times New Roman" w:cs="Times New Roman" w:eastAsia="Times New Roman" w:hAnsi="Times New Roman"/>
          <w:i w:val="1"/>
          <w:iCs w:val="1"/>
          <w:smallCaps w:val="0"/>
          <w:strike w:val="0"/>
          <w:color w:val="000000"/>
          <w:sz w:val="16"/>
          <w:szCs w:val="16"/>
          <w:u w:val="singl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influence of leadership, culture and development on performance</w:t>
      </w:r>
      <w:r w:rsidDel="00000000" w:rsidR="00000000" w:rsidRPr="00000000">
        <w:rPr>
          <w:rtl w:val="0"/>
        </w:rPr>
      </w:r>
    </w:p>
    <w:p w:rsidR="00000000" w:rsidDel="00000000" w:rsidP="00000000" w:rsidRDefault="00000000" w:rsidRPr="00000000" w14:paraId="0000010F">
      <w:pPr>
        <w:spacing w:after="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traditional hierarchical development models, rigid directive leadership often suppresses developer autonomy, leading to cognitive fatigue and sub-optimal design choices (Northouse, 2021). To optimise engineering throughput during the development of Ticketflow, leadership was carried out through situational leadership rather than a static management style. Situational leadership theory holds that effective leaders vary their approach according to the maturity of those they lead and the demands of the task, rather than applying one style throughout (Greenleaf, 2018). </w:t>
      </w:r>
    </w:p>
    <w:p w:rsidR="00000000" w:rsidDel="00000000" w:rsidP="00000000" w:rsidRDefault="00000000" w:rsidRPr="00000000" w14:paraId="00000110">
      <w:pPr>
        <w:spacing w:after="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0" w:lineRule="auto"/>
        <w:ind w:left="108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w:t>
        <w:br w:type="textWrapping"/>
      </w:r>
      <w:r w:rsidDel="00000000" w:rsidR="00000000" w:rsidRPr="00000000">
        <w:rPr>
          <w:rFonts w:ascii="Times New Roman" w:cs="Times New Roman" w:eastAsia="Times New Roman" w:hAnsi="Times New Roman"/>
          <w:i w:val="1"/>
          <w:iCs w:val="1"/>
          <w:sz w:val="24"/>
          <w:szCs w:val="24"/>
          <w:rtl w:val="0"/>
        </w:rPr>
        <w:t xml:space="preserve">The Situational Leadership Model</w:t>
      </w:r>
    </w:p>
    <w:p w:rsidR="00000000" w:rsidDel="00000000" w:rsidP="00000000" w:rsidRDefault="00000000" w:rsidRPr="00000000" w14:paraId="00000112">
      <w:pPr>
        <w:spacing w:after="0" w:lineRule="auto"/>
        <w:ind w:left="108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37150" cy="5473700"/>
            <wp:effectExtent b="0" l="0" r="0" t="0"/>
            <wp:docPr id="16"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593715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Parker (2026) </w:t>
      </w:r>
      <w:r w:rsidDel="00000000" w:rsidR="00000000" w:rsidRPr="00000000">
        <w:rPr>
          <w:rtl w:val="0"/>
        </w:rPr>
      </w:r>
    </w:p>
    <w:p w:rsidR="00000000" w:rsidDel="00000000" w:rsidP="00000000" w:rsidRDefault="00000000" w:rsidRPr="00000000" w14:paraId="00000114">
      <w:pPr>
        <w:spacing w:after="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our own project, this played out very clearly.</w:t>
      </w:r>
    </w:p>
    <w:p w:rsidR="00000000" w:rsidDel="00000000" w:rsidP="00000000" w:rsidRDefault="00000000" w:rsidRPr="00000000" w14:paraId="00000116">
      <w:pPr>
        <w:spacing w:after="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initial stages of our development process, when establishing the core monorepo architecture and layered backend pattern, team members exhibited high enthusiasm but low domain-specific knowledge regarding strict architectural constraints. Leadership adopted a highly directive stance, establishing non-negotiable coding conventions and enforcing explicit monorepo directory splits without root ‘</w:t>
      </w:r>
      <w:r w:rsidDel="00000000" w:rsidR="00000000" w:rsidRPr="00000000">
        <w:rPr>
          <w:rFonts w:ascii="Times New Roman" w:cs="Times New Roman" w:eastAsia="Times New Roman" w:hAnsi="Times New Roman"/>
          <w:sz w:val="24"/>
          <w:szCs w:val="24"/>
          <w:rtl w:val="0"/>
        </w:rPr>
        <w:t xml:space="preserve">package.json’</w:t>
      </w:r>
      <w:r w:rsidDel="00000000" w:rsidR="00000000" w:rsidRPr="00000000">
        <w:rPr>
          <w:rFonts w:ascii="Times New Roman" w:cs="Times New Roman" w:eastAsia="Times New Roman" w:hAnsi="Times New Roman"/>
          <w:sz w:val="24"/>
          <w:szCs w:val="24"/>
          <w:rtl w:val="0"/>
        </w:rPr>
        <w:t xml:space="preserve"> pollution and mandating raw body capture middleware specifically for HMAC signature verification. This upfront clarity minimised structural technical debt early in the lifecycle. </w:t>
      </w:r>
    </w:p>
    <w:p w:rsidR="00000000" w:rsidDel="00000000" w:rsidP="00000000" w:rsidRDefault="00000000" w:rsidRPr="00000000" w14:paraId="00000118">
      <w:pPr>
        <w:spacing w:after="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the client-side payment system using ‘react-paystack’ met us with several behavioural challenges. The team needed to trigger payment popups successfully without trusting client-side success callbacks, routing the transaction proofs to backend raw-body HMAC endpoints instead. Leadership provided clear structural patterns for asynchronous state transitions while providing continuous feedback during code reviews to build confidence in zero-trust payment workflows</w:t>
        <w:br w:type="textWrapping"/>
      </w:r>
    </w:p>
    <w:p w:rsidR="00000000" w:rsidDel="00000000" w:rsidP="00000000" w:rsidRDefault="00000000" w:rsidRPr="00000000" w14:paraId="0000011A">
      <w:pPr>
        <w:spacing w:after="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pattern is not unique to student delivery. CMI's own research into culture and engagement found that communication and a shared sense of belonging were what sustained organisational culture through periods of pressure, with 84% of respondents reporting their culture held up or improved through disruption where these were present (CMI, 2021). </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E">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strategies which promote engagement and wellbeing as an enabler of individual and team performance</w:t>
      </w:r>
    </w:p>
    <w:p w:rsidR="00000000" w:rsidDel="00000000" w:rsidP="00000000" w:rsidRDefault="00000000" w:rsidRPr="00000000" w14:paraId="0000011F">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leadership development strategy which values people whilst optimising team and organisational success </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highlight w:val="yellow"/>
          <w:u w:val="none"/>
          <w:vertAlign w:val="baseline"/>
          <w:rtl w:val="0"/>
        </w:rPr>
        <w:t xml:space="preserve">(Guideline: You should include a proposal of leadership development strategy in Appendix A2 which is excluded in the word count.)</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right"/>
        <w:rPr>
          <w:rFonts w:ascii="Times New Roman" w:cs="Times New Roman" w:eastAsia="Times New Roman" w:hAnsi="Times New Roman"/>
          <w:i w:val="1"/>
          <w:iCs w:val="1"/>
          <w:smallCaps w:val="0"/>
          <w:strike w:val="0"/>
          <w:color w:val="000000"/>
          <w:sz w:val="24"/>
          <w:szCs w:val="24"/>
          <w:u w:val="single"/>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single"/>
          <w:shd w:fill="auto" w:val="clear"/>
          <w:vertAlign w:val="baseline"/>
          <w:rtl w:val="0"/>
        </w:rPr>
        <w:t xml:space="preserve">By team member 2:</w:t>
      </w:r>
      <w:r w:rsidDel="00000000" w:rsidR="00000000" w:rsidRPr="00000000">
        <w:rPr>
          <w:rFonts w:ascii="Times New Roman" w:cs="Times New Roman" w:eastAsia="Times New Roman" w:hAnsi="Times New Roman"/>
          <w:i w:val="1"/>
          <w:iCs w:val="1"/>
          <w:sz w:val="24"/>
          <w:szCs w:val="24"/>
          <w:u w:val="single"/>
          <w:rtl w:val="0"/>
        </w:rPr>
        <w:t xml:space="preserve"> Adetunji Marvellous Oluwaferanmi</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right"/>
        <w:rPr>
          <w:rFonts w:ascii="Times New Roman" w:cs="Times New Roman" w:eastAsia="Times New Roman" w:hAnsi="Times New Roman"/>
          <w:i w:val="1"/>
          <w:iCs w:val="1"/>
          <w:smallCaps w:val="0"/>
          <w:strike w:val="0"/>
          <w:color w:val="000000"/>
          <w:sz w:val="16"/>
          <w:szCs w:val="16"/>
          <w:u w:val="singl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influence of leadership, culture and development on performance</w:t>
      </w:r>
    </w:p>
    <w:p w:rsidR="00000000" w:rsidDel="00000000" w:rsidP="00000000" w:rsidRDefault="00000000" w:rsidRPr="00000000" w14:paraId="00000125">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strategies which promote engagement and wellbeing as an enabler of individual and team performance</w:t>
      </w:r>
    </w:p>
    <w:p w:rsidR="00000000" w:rsidDel="00000000" w:rsidP="00000000" w:rsidRDefault="00000000" w:rsidRPr="00000000" w14:paraId="00000126">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leadership development strategy which values people whilst optimising team and organisational success </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highlight w:val="yellow"/>
          <w:u w:val="none"/>
          <w:vertAlign w:val="baseline"/>
          <w:rtl w:val="0"/>
        </w:rPr>
        <w:t xml:space="preserve">(Guideline: You should include a proposal of leadership development strategy in Appendix A3 which is excluded in the word count.)</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right"/>
        <w:rPr>
          <w:rFonts w:ascii="Times New Roman" w:cs="Times New Roman" w:eastAsia="Times New Roman" w:hAnsi="Times New Roman"/>
          <w:i w:val="1"/>
          <w:iCs w:val="1"/>
          <w:smallCaps w:val="0"/>
          <w:strike w:val="0"/>
          <w:color w:val="000000"/>
          <w:sz w:val="24"/>
          <w:szCs w:val="24"/>
          <w:highlight w:val="yellow"/>
          <w:u w:val="single"/>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single"/>
          <w:shd w:fill="auto" w:val="clear"/>
          <w:vertAlign w:val="baseline"/>
          <w:rtl w:val="0"/>
        </w:rPr>
        <w:t xml:space="preserve">By team member 3: </w:t>
      </w:r>
      <w:r w:rsidDel="00000000" w:rsidR="00000000" w:rsidRPr="00000000">
        <w:rPr>
          <w:rFonts w:ascii="Times New Roman" w:cs="Times New Roman" w:eastAsia="Times New Roman" w:hAnsi="Times New Roman"/>
          <w:i w:val="1"/>
          <w:iCs w:val="1"/>
          <w:smallCaps w:val="0"/>
          <w:strike w:val="0"/>
          <w:color w:val="000000"/>
          <w:sz w:val="24"/>
          <w:szCs w:val="24"/>
          <w:highlight w:val="yellow"/>
          <w:u w:val="single"/>
          <w:vertAlign w:val="baseline"/>
          <w:rtl w:val="0"/>
        </w:rPr>
        <w:t xml:space="preserve">(full name)</w:t>
      </w:r>
    </w:p>
    <w:p w:rsidR="00000000" w:rsidDel="00000000" w:rsidP="00000000" w:rsidRDefault="00000000" w:rsidRPr="00000000" w14:paraId="0000012A">
      <w:pPr>
        <w:spacing w:after="200" w:line="276" w:lineRule="auto"/>
        <w:rPr>
          <w:rFonts w:ascii="Times New Roman" w:cs="Times New Roman" w:eastAsia="Times New Roman" w:hAnsi="Times New Roman"/>
          <w:i w:val="1"/>
          <w:iCs w:val="1"/>
          <w:sz w:val="24"/>
          <w:szCs w:val="24"/>
          <w:highlight w:val="yellow"/>
          <w:u w:val="single"/>
        </w:rPr>
      </w:pPr>
      <w:r w:rsidDel="00000000" w:rsidR="00000000" w:rsidRPr="00000000">
        <w:br w:type="page"/>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right"/>
        <w:rPr>
          <w:rFonts w:ascii="Times New Roman" w:cs="Times New Roman" w:eastAsia="Times New Roman" w:hAnsi="Times New Roman"/>
          <w:i w:val="1"/>
          <w:iCs w:val="1"/>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right"/>
        <w:rPr>
          <w:rFonts w:ascii="Times New Roman" w:cs="Times New Roman" w:eastAsia="Times New Roman" w:hAnsi="Times New Roman"/>
          <w:i w:val="1"/>
          <w:iCs w:val="1"/>
          <w:smallCaps w:val="0"/>
          <w:strike w:val="0"/>
          <w:color w:val="000000"/>
          <w:sz w:val="16"/>
          <w:szCs w:val="16"/>
          <w:u w:val="singl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influence of leadership, culture and development on performance</w:t>
      </w:r>
    </w:p>
    <w:p w:rsidR="00000000" w:rsidDel="00000000" w:rsidP="00000000" w:rsidRDefault="00000000" w:rsidRPr="00000000" w14:paraId="0000012E">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strategies which promote engagement and wellbeing as an enabler of individual and team performance</w:t>
      </w:r>
    </w:p>
    <w:p w:rsidR="00000000" w:rsidDel="00000000" w:rsidP="00000000" w:rsidRDefault="00000000" w:rsidRPr="00000000" w14:paraId="0000012F">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leadership development strategy which values people whilst optimising team and organisational success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highlight w:val="yellow"/>
          <w:u w:val="none"/>
          <w:vertAlign w:val="baseline"/>
          <w:rtl w:val="0"/>
        </w:rPr>
        <w:t xml:space="preserve">(Guideline: You should include a proposal of leadership development strategy in Appendix A4 which is excluded in the word count.)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right"/>
        <w:rPr>
          <w:rFonts w:ascii="Times New Roman" w:cs="Times New Roman" w:eastAsia="Times New Roman" w:hAnsi="Times New Roman"/>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single"/>
          <w:shd w:fill="auto" w:val="clear"/>
          <w:vertAlign w:val="baseline"/>
          <w:rtl w:val="0"/>
        </w:rPr>
        <w:t xml:space="preserve">By team member 4: </w:t>
      </w:r>
      <w:r w:rsidDel="00000000" w:rsidR="00000000" w:rsidRPr="00000000">
        <w:rPr>
          <w:rFonts w:ascii="Times New Roman" w:cs="Times New Roman" w:eastAsia="Times New Roman" w:hAnsi="Times New Roman"/>
          <w:i w:val="1"/>
          <w:iCs w:val="1"/>
          <w:smallCaps w:val="0"/>
          <w:strike w:val="0"/>
          <w:color w:val="000000"/>
          <w:sz w:val="24"/>
          <w:szCs w:val="24"/>
          <w:highlight w:val="yellow"/>
          <w:u w:val="single"/>
          <w:vertAlign w:val="baseline"/>
          <w:rtl w:val="0"/>
        </w:rPr>
        <w:t xml:space="preserve">(full name)</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right"/>
        <w:rPr>
          <w:rFonts w:ascii="Times New Roman" w:cs="Times New Roman" w:eastAsia="Times New Roman" w:hAnsi="Times New Roman"/>
          <w:i w:val="1"/>
          <w:iCs w:val="1"/>
          <w:smallCaps w:val="0"/>
          <w:strike w:val="0"/>
          <w:color w:val="000000"/>
          <w:sz w:val="16"/>
          <w:szCs w:val="16"/>
          <w:u w:val="singl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influence of leadership, culture and development on performance</w:t>
      </w:r>
    </w:p>
    <w:p w:rsidR="00000000" w:rsidDel="00000000" w:rsidP="00000000" w:rsidRDefault="00000000" w:rsidRPr="00000000" w14:paraId="00000134">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strategies which promote engagement and wellbeing as an enabler of individual and team performance</w:t>
      </w:r>
    </w:p>
    <w:p w:rsidR="00000000" w:rsidDel="00000000" w:rsidP="00000000" w:rsidRDefault="00000000" w:rsidRPr="00000000" w14:paraId="00000135">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leadership development strategy which values people whilst optimising team and organisational success </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highlight w:val="yellow"/>
          <w:u w:val="none"/>
          <w:vertAlign w:val="baseline"/>
          <w:rtl w:val="0"/>
        </w:rPr>
        <w:t xml:space="preserve">(Guideline: You should include a proposal of leadership development strategy in Appendix A5 which is excluded in the word count.)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right"/>
        <w:rPr>
          <w:rFonts w:ascii="Times New Roman" w:cs="Times New Roman" w:eastAsia="Times New Roman" w:hAnsi="Times New Roman"/>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single"/>
          <w:shd w:fill="auto" w:val="clear"/>
          <w:vertAlign w:val="baseline"/>
          <w:rtl w:val="0"/>
        </w:rPr>
        <w:t xml:space="preserve">By team member 5: </w:t>
      </w:r>
      <w:r w:rsidDel="00000000" w:rsidR="00000000" w:rsidRPr="00000000">
        <w:rPr>
          <w:rFonts w:ascii="Times New Roman" w:cs="Times New Roman" w:eastAsia="Times New Roman" w:hAnsi="Times New Roman"/>
          <w:i w:val="1"/>
          <w:iCs w:val="1"/>
          <w:smallCaps w:val="0"/>
          <w:strike w:val="0"/>
          <w:color w:val="000000"/>
          <w:sz w:val="24"/>
          <w:szCs w:val="24"/>
          <w:highlight w:val="yellow"/>
          <w:u w:val="single"/>
          <w:vertAlign w:val="baseline"/>
          <w:rtl w:val="0"/>
        </w:rPr>
        <w:t xml:space="preserve">(full name)</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Theoretical concepts and entrepreneurial practice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1"/>
          <w:iCs w:val="1"/>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highlight w:val="yellow"/>
          <w:u w:val="none"/>
          <w:vertAlign w:val="baseline"/>
          <w:rtl w:val="0"/>
        </w:rPr>
        <w:t xml:space="preserve">(Guideline: </w:t>
      </w:r>
      <w:r w:rsidDel="00000000" w:rsidR="00000000" w:rsidRPr="00000000">
        <w:rPr>
          <w:rFonts w:ascii="Times New Roman" w:cs="Times New Roman" w:eastAsia="Times New Roman" w:hAnsi="Times New Roman"/>
          <w:b w:val="1"/>
          <w:bCs w:val="1"/>
          <w:i w:val="1"/>
          <w:iCs w:val="1"/>
          <w:smallCaps w:val="0"/>
          <w:strike w:val="0"/>
          <w:color w:val="000000"/>
          <w:sz w:val="24"/>
          <w:szCs w:val="24"/>
          <w:highlight w:val="yellow"/>
          <w:u w:val="none"/>
          <w:vertAlign w:val="baseline"/>
          <w:rtl w:val="0"/>
        </w:rPr>
        <w:t xml:space="preserve">The following sub-sections should be completed by each of the team members as an individual and be signed off by the respective individual team members with their full names.</w:t>
      </w:r>
      <w:r w:rsidDel="00000000" w:rsidR="00000000" w:rsidRPr="00000000">
        <w:rPr>
          <w:rFonts w:ascii="Times New Roman" w:cs="Times New Roman" w:eastAsia="Times New Roman" w:hAnsi="Times New Roman"/>
          <w:i w:val="1"/>
          <w:iCs w:val="1"/>
          <w:smallCaps w:val="0"/>
          <w:strike w:val="0"/>
          <w:color w:val="000000"/>
          <w:sz w:val="24"/>
          <w:szCs w:val="24"/>
          <w:highlight w:val="yellow"/>
          <w:u w:val="none"/>
          <w:vertAlign w:val="baseline"/>
          <w:rtl w:val="0"/>
        </w:rPr>
        <w:t xml:space="preserve"> You should critically evaluate and report on the theoretical concepts and contemporary thinking in entrepreneurial practice of how your idea, from concept to delivery, is developed based on the scenario selected by the team. Consider forms and strategic contexts of entrepreneurial practice and consideration of the following to achieve a successful outcome in this scenario in the target group project scenario. </w:t>
      </w:r>
      <w:r w:rsidDel="00000000" w:rsidR="00000000" w:rsidRPr="00000000">
        <w:rPr>
          <w:rFonts w:ascii="Times New Roman" w:cs="Times New Roman" w:eastAsia="Times New Roman" w:hAnsi="Times New Roman"/>
          <w:b w:val="1"/>
          <w:bCs w:val="1"/>
          <w:i w:val="1"/>
          <w:iCs w:val="1"/>
          <w:smallCaps w:val="0"/>
          <w:strike w:val="0"/>
          <w:color w:val="000000"/>
          <w:sz w:val="24"/>
          <w:szCs w:val="24"/>
          <w:highlight w:val="yellow"/>
          <w:u w:val="none"/>
          <w:vertAlign w:val="baseline"/>
          <w:rtl w:val="0"/>
        </w:rPr>
        <w:t xml:space="preserve">You are advised that</w:t>
      </w:r>
      <w:r w:rsidDel="00000000" w:rsidR="00000000" w:rsidRPr="00000000">
        <w:rPr>
          <w:rFonts w:ascii="Times New Roman" w:cs="Times New Roman" w:eastAsia="Times New Roman" w:hAnsi="Times New Roman"/>
          <w:i w:val="1"/>
          <w:iCs w:val="1"/>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highlight w:val="yellow"/>
          <w:u w:val="none"/>
          <w:vertAlign w:val="baseline"/>
          <w:rtl w:val="0"/>
        </w:rPr>
        <w:t xml:space="preserve">each member should focus on different aspects to report on</w:t>
      </w:r>
      <w:r w:rsidDel="00000000" w:rsidR="00000000" w:rsidRPr="00000000">
        <w:rPr>
          <w:rFonts w:ascii="Times New Roman" w:cs="Times New Roman" w:eastAsia="Times New Roman" w:hAnsi="Times New Roman"/>
          <w:i w:val="1"/>
          <w:iCs w:val="1"/>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highlight w:val="yellow"/>
          <w:u w:val="none"/>
          <w:vertAlign w:val="baseline"/>
          <w:rtl w:val="0"/>
        </w:rPr>
        <w:t xml:space="preserve">in relation to your own project group work</w:t>
      </w:r>
      <w:r w:rsidDel="00000000" w:rsidR="00000000" w:rsidRPr="00000000">
        <w:rPr>
          <w:rFonts w:ascii="Times New Roman" w:cs="Times New Roman" w:eastAsia="Times New Roman" w:hAnsi="Times New Roman"/>
          <w:i w:val="1"/>
          <w:iCs w:val="1"/>
          <w:smallCaps w:val="0"/>
          <w:strike w:val="0"/>
          <w:color w:val="000000"/>
          <w:sz w:val="24"/>
          <w:szCs w:val="24"/>
          <w:highlight w:val="yellow"/>
          <w:u w:val="none"/>
          <w:vertAlign w:val="baseline"/>
          <w:rtl w:val="0"/>
        </w:rPr>
        <w:t xml:space="preserve">, to avoid repetition and plagiarism. </w:t>
      </w:r>
      <w:r w:rsidDel="00000000" w:rsidR="00000000" w:rsidRPr="00000000">
        <w:rPr>
          <w:rFonts w:ascii="Times New Roman" w:cs="Times New Roman" w:eastAsia="Times New Roman" w:hAnsi="Times New Roman"/>
          <w:i w:val="1"/>
          <w:iCs w:val="1"/>
          <w:smallCaps w:val="0"/>
          <w:strike w:val="0"/>
          <w:color w:val="ee0000"/>
          <w:sz w:val="24"/>
          <w:szCs w:val="24"/>
          <w:highlight w:val="yellow"/>
          <w:u w:val="none"/>
          <w:vertAlign w:val="baseline"/>
          <w:rtl w:val="0"/>
        </w:rPr>
        <w:t xml:space="preserve">The word count guidance </w:t>
      </w:r>
      <w:r w:rsidDel="00000000" w:rsidR="00000000" w:rsidRPr="00000000">
        <w:rPr>
          <w:rFonts w:ascii="Times New Roman" w:cs="Times New Roman" w:eastAsia="Times New Roman" w:hAnsi="Times New Roman"/>
          <w:b w:val="1"/>
          <w:bCs w:val="1"/>
          <w:i w:val="1"/>
          <w:iCs w:val="1"/>
          <w:smallCaps w:val="0"/>
          <w:strike w:val="0"/>
          <w:color w:val="ee0000"/>
          <w:sz w:val="24"/>
          <w:szCs w:val="24"/>
          <w:highlight w:val="yellow"/>
          <w:u w:val="none"/>
          <w:vertAlign w:val="baseline"/>
          <w:rtl w:val="0"/>
        </w:rPr>
        <w:t xml:space="preserve">for each team member</w:t>
      </w:r>
      <w:r w:rsidDel="00000000" w:rsidR="00000000" w:rsidRPr="00000000">
        <w:rPr>
          <w:rFonts w:ascii="Times New Roman" w:cs="Times New Roman" w:eastAsia="Times New Roman" w:hAnsi="Times New Roman"/>
          <w:i w:val="1"/>
          <w:iCs w:val="1"/>
          <w:smallCaps w:val="0"/>
          <w:strike w:val="0"/>
          <w:color w:val="ee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ee0000"/>
          <w:sz w:val="24"/>
          <w:szCs w:val="24"/>
          <w:highlight w:val="yellow"/>
          <w:u w:val="none"/>
          <w:vertAlign w:val="baseline"/>
          <w:rtl w:val="0"/>
        </w:rPr>
        <w:t xml:space="preserve">in this section is 1,750 words</w:t>
      </w:r>
      <w:r w:rsidDel="00000000" w:rsidR="00000000" w:rsidRPr="00000000">
        <w:rPr>
          <w:rFonts w:ascii="Times New Roman" w:cs="Times New Roman" w:eastAsia="Times New Roman" w:hAnsi="Times New Roman"/>
          <w:i w:val="1"/>
          <w:iCs w:val="1"/>
          <w:smallCaps w:val="0"/>
          <w:strike w:val="0"/>
          <w:color w:val="ee0000"/>
          <w:sz w:val="24"/>
          <w:szCs w:val="24"/>
          <w:highlight w:val="yellow"/>
          <w:u w:val="none"/>
          <w:vertAlign w:val="baseline"/>
          <w:rtl w:val="0"/>
        </w:rPr>
        <w:t xml:space="preserve"> excluding the appendix B. </w:t>
      </w:r>
      <w:r w:rsidDel="00000000" w:rsidR="00000000" w:rsidRPr="00000000">
        <w:rPr>
          <w:rFonts w:ascii="Times New Roman" w:cs="Times New Roman" w:eastAsia="Times New Roman" w:hAnsi="Times New Roman"/>
          <w:i w:val="1"/>
          <w:iCs w:val="1"/>
          <w:smallCaps w:val="0"/>
          <w:strike w:val="0"/>
          <w:color w:val="000000"/>
          <w:sz w:val="24"/>
          <w:szCs w:val="24"/>
          <w:highlight w:val="yellow"/>
          <w:u w:val="none"/>
          <w:vertAlign w:val="baseline"/>
          <w:rtl w:val="0"/>
        </w:rPr>
        <w:t xml:space="preserve">Please also see the Assessment Marking Criteria in the assignment brief for details. Please remove the redundant sections below, if you have less than 5 members in the team.)</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multi-dimensional</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issues which impact on entrepreneurial practice</w:t>
      </w:r>
    </w:p>
    <w:p w:rsidR="00000000" w:rsidDel="00000000" w:rsidP="00000000" w:rsidRDefault="00000000" w:rsidRPr="00000000" w14:paraId="0000013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Suggestion of ways of overcoming barriers to entrepreneurial practice </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highlight w:val="yellow"/>
          <w:u w:val="none"/>
          <w:vertAlign w:val="baseline"/>
          <w:rtl w:val="0"/>
        </w:rPr>
        <w:t xml:space="preserve">(Guideline: This should be related to your group project, using an evidence-based approach. You should include a proposal for a course of action to achieve an entrepreneurial aim in Appendix B1, which is excluded in the word count.) </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Characteristics and attributes of entrepreneurial leadership for achieving outcomes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right"/>
        <w:rPr>
          <w:rFonts w:ascii="Times New Roman" w:cs="Times New Roman" w:eastAsia="Times New Roman" w:hAnsi="Times New Roman"/>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single"/>
          <w:shd w:fill="auto" w:val="clear"/>
          <w:vertAlign w:val="baseline"/>
          <w:rtl w:val="0"/>
        </w:rPr>
        <w:t xml:space="preserve">By team member 1: </w:t>
      </w:r>
      <w:r w:rsidDel="00000000" w:rsidR="00000000" w:rsidRPr="00000000">
        <w:rPr>
          <w:rFonts w:ascii="Times New Roman" w:cs="Times New Roman" w:eastAsia="Times New Roman" w:hAnsi="Times New Roman"/>
          <w:i w:val="1"/>
          <w:iCs w:val="1"/>
          <w:smallCaps w:val="0"/>
          <w:strike w:val="0"/>
          <w:color w:val="000000"/>
          <w:sz w:val="24"/>
          <w:szCs w:val="24"/>
          <w:highlight w:val="yellow"/>
          <w:u w:val="single"/>
          <w:vertAlign w:val="baseline"/>
          <w:rtl w:val="0"/>
        </w:rPr>
        <w:t xml:space="preserve">(full name)</w:t>
      </w:r>
      <w:r w:rsidDel="00000000" w:rsidR="00000000" w:rsidRPr="00000000">
        <w:br w:type="page"/>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right"/>
        <w:rPr>
          <w:rFonts w:ascii="Times New Roman" w:cs="Times New Roman" w:eastAsia="Times New Roman" w:hAnsi="Times New Roman"/>
          <w:i w:val="1"/>
          <w:iCs w:val="1"/>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multi-dimensional</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issues which impact on entrepreneurial practice</w:t>
      </w:r>
    </w:p>
    <w:p w:rsidR="00000000" w:rsidDel="00000000" w:rsidP="00000000" w:rsidRDefault="00000000" w:rsidRPr="00000000" w14:paraId="0000014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Suggestion of ways of overcoming barriers to entrepreneurial practice</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highlight w:val="yellow"/>
          <w:u w:val="none"/>
          <w:vertAlign w:val="baseline"/>
          <w:rtl w:val="0"/>
        </w:rPr>
        <w:t xml:space="preserve">(Guideline: This should be related to your group project, using an evidence-based approach. You should include a proposal for a course of action to achieve an entrepreneurial aim in Appendix B2, which is excluded in the word count.) </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Characteristics and attributes of entrepreneurial leadership for achieving outcomes</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right"/>
        <w:rPr>
          <w:rFonts w:ascii="Times New Roman" w:cs="Times New Roman" w:eastAsia="Times New Roman" w:hAnsi="Times New Roman"/>
          <w:i w:val="1"/>
          <w:iCs w:val="1"/>
          <w:smallCaps w:val="0"/>
          <w:strike w:val="0"/>
          <w:color w:val="000000"/>
          <w:sz w:val="24"/>
          <w:szCs w:val="24"/>
          <w:u w:val="single"/>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single"/>
          <w:shd w:fill="auto" w:val="clear"/>
          <w:vertAlign w:val="baseline"/>
          <w:rtl w:val="0"/>
        </w:rPr>
        <w:t xml:space="preserve">By team member 2: </w:t>
      </w:r>
      <w:r w:rsidDel="00000000" w:rsidR="00000000" w:rsidRPr="00000000">
        <w:rPr>
          <w:rFonts w:ascii="Times New Roman" w:cs="Times New Roman" w:eastAsia="Times New Roman" w:hAnsi="Times New Roman"/>
          <w:i w:val="1"/>
          <w:iCs w:val="1"/>
          <w:sz w:val="24"/>
          <w:szCs w:val="24"/>
          <w:u w:val="single"/>
          <w:rtl w:val="0"/>
        </w:rPr>
        <w:t xml:space="preserve">Adetunji Marvellous Oluwaferanmi</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righ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multi-dimensional issues which impact on entrepreneurial practice</w:t>
      </w:r>
    </w:p>
    <w:p w:rsidR="00000000" w:rsidDel="00000000" w:rsidP="00000000" w:rsidRDefault="00000000" w:rsidRPr="00000000" w14:paraId="0000014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Suggestion of ways of overcoming barriers to entrepreneurial practice</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highlight w:val="yellow"/>
          <w:u w:val="none"/>
          <w:vertAlign w:val="baseline"/>
          <w:rtl w:val="0"/>
        </w:rPr>
        <w:t xml:space="preserve">(Guideline: This should be related to your group project, using an evidence-based approach. You should include a proposal for a course of action to achieve an entrepreneurial aim in Appendix B3, which is excluded in the word count.)</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Characteristics and attributes of entrepreneurial leadership for achieving outcomes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right"/>
        <w:rPr>
          <w:rFonts w:ascii="Times New Roman" w:cs="Times New Roman" w:eastAsia="Times New Roman" w:hAnsi="Times New Roman"/>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single"/>
          <w:shd w:fill="auto" w:val="clear"/>
          <w:vertAlign w:val="baseline"/>
          <w:rtl w:val="0"/>
        </w:rPr>
        <w:t xml:space="preserve">By team member 3: </w:t>
      </w:r>
      <w:r w:rsidDel="00000000" w:rsidR="00000000" w:rsidRPr="00000000">
        <w:rPr>
          <w:rFonts w:ascii="Times New Roman" w:cs="Times New Roman" w:eastAsia="Times New Roman" w:hAnsi="Times New Roman"/>
          <w:i w:val="1"/>
          <w:iCs w:val="1"/>
          <w:smallCaps w:val="0"/>
          <w:strike w:val="0"/>
          <w:color w:val="000000"/>
          <w:sz w:val="24"/>
          <w:szCs w:val="24"/>
          <w:highlight w:val="yellow"/>
          <w:u w:val="single"/>
          <w:vertAlign w:val="baseline"/>
          <w:rtl w:val="0"/>
        </w:rPr>
        <w:t xml:space="preserve">(full name)</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righ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multi-dimensional</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issues which impact on entrepreneurial practice</w:t>
      </w:r>
    </w:p>
    <w:p w:rsidR="00000000" w:rsidDel="00000000" w:rsidP="00000000" w:rsidRDefault="00000000" w:rsidRPr="00000000" w14:paraId="0000014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Suggestion of ways of overcoming barriers to entrepreneurial practice</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highlight w:val="yellow"/>
          <w:u w:val="none"/>
          <w:vertAlign w:val="baseline"/>
          <w:rtl w:val="0"/>
        </w:rPr>
        <w:t xml:space="preserve">(Guideline: This should be related to your group project, using an evidence-based approach. You should include a proposal for a course of action to achieve an entrepreneurial aim in Appendix B4, which is excluded in the word count.) </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Characteristics and attributes of entrepreneurial leadership for achieving outcomes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right"/>
        <w:rPr>
          <w:rFonts w:ascii="Times New Roman" w:cs="Times New Roman" w:eastAsia="Times New Roman" w:hAnsi="Times New Roman"/>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single"/>
          <w:shd w:fill="auto" w:val="clear"/>
          <w:vertAlign w:val="baseline"/>
          <w:rtl w:val="0"/>
        </w:rPr>
        <w:t xml:space="preserve">By team member 4: </w:t>
      </w:r>
      <w:r w:rsidDel="00000000" w:rsidR="00000000" w:rsidRPr="00000000">
        <w:rPr>
          <w:rFonts w:ascii="Times New Roman" w:cs="Times New Roman" w:eastAsia="Times New Roman" w:hAnsi="Times New Roman"/>
          <w:i w:val="1"/>
          <w:iCs w:val="1"/>
          <w:smallCaps w:val="0"/>
          <w:strike w:val="0"/>
          <w:color w:val="000000"/>
          <w:sz w:val="24"/>
          <w:szCs w:val="24"/>
          <w:highlight w:val="yellow"/>
          <w:u w:val="single"/>
          <w:vertAlign w:val="baseline"/>
          <w:rtl w:val="0"/>
        </w:rPr>
        <w:t xml:space="preserve">(full name)</w: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righ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multi-dimensional</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issues which impact on entrepreneurial practice</w:t>
      </w:r>
    </w:p>
    <w:p w:rsidR="00000000" w:rsidDel="00000000" w:rsidP="00000000" w:rsidRDefault="00000000" w:rsidRPr="00000000" w14:paraId="0000015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Suggestion of ways of overcoming to entrepreneurial practice</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highlight w:val="yellow"/>
          <w:u w:val="none"/>
          <w:vertAlign w:val="baseline"/>
          <w:rtl w:val="0"/>
        </w:rPr>
        <w:t xml:space="preserve">(Guideline: This should be related to your group project, using an evidence-based approach. You should include a proposal for a course of action to achieve an entrepreneurial aim in Appendix B5, which is excluded in the word count.)  </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Characteristics and attributes of entrepreneurial leadership for achieving outcomes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righ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single"/>
          <w:shd w:fill="auto" w:val="clear"/>
          <w:vertAlign w:val="baseline"/>
          <w:rtl w:val="0"/>
        </w:rPr>
        <w:t xml:space="preserve">By team member 5: </w:t>
      </w:r>
      <w:r w:rsidDel="00000000" w:rsidR="00000000" w:rsidRPr="00000000">
        <w:rPr>
          <w:rFonts w:ascii="Times New Roman" w:cs="Times New Roman" w:eastAsia="Times New Roman" w:hAnsi="Times New Roman"/>
          <w:i w:val="1"/>
          <w:iCs w:val="1"/>
          <w:smallCaps w:val="0"/>
          <w:strike w:val="0"/>
          <w:color w:val="000000"/>
          <w:sz w:val="24"/>
          <w:szCs w:val="24"/>
          <w:highlight w:val="yellow"/>
          <w:u w:val="single"/>
          <w:vertAlign w:val="baseline"/>
          <w:rtl w:val="0"/>
        </w:rPr>
        <w:t xml:space="preserve">(full name)</w:t>
      </w:r>
      <w:r w:rsidDel="00000000" w:rsidR="00000000" w:rsidRPr="00000000">
        <w:rPr>
          <w:rtl w:val="0"/>
        </w:rPr>
      </w:r>
    </w:p>
    <w:p w:rsidR="00000000" w:rsidDel="00000000" w:rsidP="00000000" w:rsidRDefault="00000000" w:rsidRPr="00000000" w14:paraId="00000159">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15B">
      <w:pPr>
        <w:spacing w:after="200" w:line="276"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Appendices</w:t>
        <w:tab/>
      </w:r>
    </w:p>
    <w:p w:rsidR="00000000" w:rsidDel="00000000" w:rsidP="00000000" w:rsidRDefault="00000000" w:rsidRPr="00000000" w14:paraId="0000015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4"/>
          <w:szCs w:val="24"/>
          <w:highlight w:val="yellow"/>
          <w:rtl w:val="0"/>
        </w:rPr>
        <w:t xml:space="preserve">(Guideline for Appendix A: You are advised that each member should focus on different areas when writing a proposal of development strategy in relation to your group project work, to avoid repetition and plagiarism.)</w:t>
      </w: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Appendix A1: The leadership development strategy proposal (team member 1)</w:t>
      </w:r>
    </w:p>
    <w:p w:rsidR="00000000" w:rsidDel="00000000" w:rsidP="00000000" w:rsidRDefault="00000000" w:rsidRPr="00000000" w14:paraId="0000015F">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highlight w:val="yellow"/>
          <w:rtl w:val="0"/>
        </w:rPr>
        <w:t xml:space="preserve">(Guideline: The proposal should be included here for Section 2.1 subsections completed by team member 1. The leadership development strategy which values people whilst optimising team and organisational success. The proposal is excluded from the word count.)</w:t>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right"/>
        <w:rPr>
          <w:rFonts w:ascii="Times New Roman" w:cs="Times New Roman" w:eastAsia="Times New Roman" w:hAnsi="Times New Roman"/>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single"/>
          <w:shd w:fill="auto" w:val="clear"/>
          <w:vertAlign w:val="baseline"/>
          <w:rtl w:val="0"/>
        </w:rPr>
        <w:t xml:space="preserve">By team member 1: </w:t>
      </w:r>
      <w:r w:rsidDel="00000000" w:rsidR="00000000" w:rsidRPr="00000000">
        <w:rPr>
          <w:rFonts w:ascii="Times New Roman" w:cs="Times New Roman" w:eastAsia="Times New Roman" w:hAnsi="Times New Roman"/>
          <w:i w:val="1"/>
          <w:iCs w:val="1"/>
          <w:smallCaps w:val="0"/>
          <w:strike w:val="0"/>
          <w:color w:val="000000"/>
          <w:sz w:val="24"/>
          <w:szCs w:val="24"/>
          <w:highlight w:val="yellow"/>
          <w:u w:val="single"/>
          <w:vertAlign w:val="baseline"/>
          <w:rtl w:val="0"/>
        </w:rPr>
        <w:t xml:space="preserve">(full name)</w:t>
      </w: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Appendix A2: The leadership development strategy proposal (team member 2)</w:t>
      </w:r>
    </w:p>
    <w:p w:rsidR="00000000" w:rsidDel="00000000" w:rsidP="00000000" w:rsidRDefault="00000000" w:rsidRPr="00000000" w14:paraId="0000016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highlight w:val="yellow"/>
          <w:rtl w:val="0"/>
        </w:rPr>
        <w:t xml:space="preserve">(Guideline: The proposal should be included here for Section 2.1 subsections completed by team member 2.  The leadership development strategy which values people whilst optimising team and organisational success. The proposal is excluded from the word count.)</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right"/>
        <w:rPr>
          <w:rFonts w:ascii="Times New Roman" w:cs="Times New Roman" w:eastAsia="Times New Roman" w:hAnsi="Times New Roman"/>
          <w:i w:val="1"/>
          <w:iCs w:val="1"/>
          <w:smallCaps w:val="0"/>
          <w:strike w:val="0"/>
          <w:color w:val="000000"/>
          <w:sz w:val="24"/>
          <w:szCs w:val="24"/>
          <w:u w:val="single"/>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single"/>
          <w:shd w:fill="auto" w:val="clear"/>
          <w:vertAlign w:val="baseline"/>
          <w:rtl w:val="0"/>
        </w:rPr>
        <w:t xml:space="preserve">By team member 2: </w:t>
      </w:r>
      <w:r w:rsidDel="00000000" w:rsidR="00000000" w:rsidRPr="00000000">
        <w:rPr>
          <w:rFonts w:ascii="Times New Roman" w:cs="Times New Roman" w:eastAsia="Times New Roman" w:hAnsi="Times New Roman"/>
          <w:i w:val="1"/>
          <w:iCs w:val="1"/>
          <w:sz w:val="24"/>
          <w:szCs w:val="24"/>
          <w:u w:val="single"/>
          <w:rtl w:val="0"/>
        </w:rPr>
        <w:t xml:space="preserve">Adetunji Marvellous Oluwafernami</w:t>
      </w: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Appendix A3: The leadership development strategy proposal (team member 3)</w:t>
      </w:r>
    </w:p>
    <w:p w:rsidR="00000000" w:rsidDel="00000000" w:rsidP="00000000" w:rsidRDefault="00000000" w:rsidRPr="00000000" w14:paraId="0000016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highlight w:val="yellow"/>
          <w:rtl w:val="0"/>
        </w:rPr>
        <w:t xml:space="preserve">(Guideline: The proposal should be included here for Section 2.1 subsections completed by team member 3.  The leadership development strategy which values people whilst optimising team and organisational success. The proposal is excluded from the word count.)</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right"/>
        <w:rPr>
          <w:rFonts w:ascii="Times New Roman" w:cs="Times New Roman" w:eastAsia="Times New Roman" w:hAnsi="Times New Roman"/>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single"/>
          <w:shd w:fill="auto" w:val="clear"/>
          <w:vertAlign w:val="baseline"/>
          <w:rtl w:val="0"/>
        </w:rPr>
        <w:t xml:space="preserve">By team member 3: </w:t>
      </w:r>
      <w:r w:rsidDel="00000000" w:rsidR="00000000" w:rsidRPr="00000000">
        <w:rPr>
          <w:rFonts w:ascii="Times New Roman" w:cs="Times New Roman" w:eastAsia="Times New Roman" w:hAnsi="Times New Roman"/>
          <w:i w:val="1"/>
          <w:iCs w:val="1"/>
          <w:smallCaps w:val="0"/>
          <w:strike w:val="0"/>
          <w:color w:val="000000"/>
          <w:sz w:val="24"/>
          <w:szCs w:val="24"/>
          <w:highlight w:val="yellow"/>
          <w:u w:val="single"/>
          <w:vertAlign w:val="baseline"/>
          <w:rtl w:val="0"/>
        </w:rPr>
        <w:t xml:space="preserve">(full name)</w:t>
      </w: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Appendix A4: The leadership development strategy proposal (team member 4)</w:t>
      </w:r>
    </w:p>
    <w:p w:rsidR="00000000" w:rsidDel="00000000" w:rsidP="00000000" w:rsidRDefault="00000000" w:rsidRPr="00000000" w14:paraId="0000016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highlight w:val="yellow"/>
          <w:rtl w:val="0"/>
        </w:rPr>
        <w:t xml:space="preserve">(Guideline: The proposal should be included here for Section 2.1 subsections completed by team member 4.  The leadership development strategy which values people whilst optimising team and organisational success. The proposal is excluded from the word count.)</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right"/>
        <w:rPr>
          <w:rFonts w:ascii="Times New Roman" w:cs="Times New Roman" w:eastAsia="Times New Roman" w:hAnsi="Times New Roman"/>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single"/>
          <w:shd w:fill="auto" w:val="clear"/>
          <w:vertAlign w:val="baseline"/>
          <w:rtl w:val="0"/>
        </w:rPr>
        <w:t xml:space="preserve">By team member 4: </w:t>
      </w:r>
      <w:r w:rsidDel="00000000" w:rsidR="00000000" w:rsidRPr="00000000">
        <w:rPr>
          <w:rFonts w:ascii="Times New Roman" w:cs="Times New Roman" w:eastAsia="Times New Roman" w:hAnsi="Times New Roman"/>
          <w:i w:val="1"/>
          <w:iCs w:val="1"/>
          <w:smallCaps w:val="0"/>
          <w:strike w:val="0"/>
          <w:color w:val="000000"/>
          <w:sz w:val="24"/>
          <w:szCs w:val="24"/>
          <w:highlight w:val="yellow"/>
          <w:u w:val="single"/>
          <w:vertAlign w:val="baseline"/>
          <w:rtl w:val="0"/>
        </w:rPr>
        <w:t xml:space="preserve">(full name)</w:t>
      </w: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Appendix A5: The leadership development strategy proposal (team member 5)</w:t>
      </w:r>
    </w:p>
    <w:p w:rsidR="00000000" w:rsidDel="00000000" w:rsidP="00000000" w:rsidRDefault="00000000" w:rsidRPr="00000000" w14:paraId="0000016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highlight w:val="yellow"/>
          <w:rtl w:val="0"/>
        </w:rPr>
        <w:t xml:space="preserve">(Guideline: The proposal should be included here for Section 2.1 subsections completed by team member 5. The leadership development strategy which values people whilst optimising team and organisational success. The proposal is excluded from the word count.)</w:t>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right"/>
        <w:rPr>
          <w:rFonts w:ascii="Times New Roman" w:cs="Times New Roman" w:eastAsia="Times New Roman" w:hAnsi="Times New Roman"/>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single"/>
          <w:shd w:fill="auto" w:val="clear"/>
          <w:vertAlign w:val="baseline"/>
          <w:rtl w:val="0"/>
        </w:rPr>
        <w:t xml:space="preserve">By team member 5: </w:t>
      </w:r>
      <w:r w:rsidDel="00000000" w:rsidR="00000000" w:rsidRPr="00000000">
        <w:rPr>
          <w:rFonts w:ascii="Times New Roman" w:cs="Times New Roman" w:eastAsia="Times New Roman" w:hAnsi="Times New Roman"/>
          <w:i w:val="1"/>
          <w:iCs w:val="1"/>
          <w:smallCaps w:val="0"/>
          <w:strike w:val="0"/>
          <w:color w:val="000000"/>
          <w:sz w:val="24"/>
          <w:szCs w:val="24"/>
          <w:highlight w:val="yellow"/>
          <w:u w:val="single"/>
          <w:vertAlign w:val="baseline"/>
          <w:rtl w:val="0"/>
        </w:rPr>
        <w:t xml:space="preserve">(full name)</w:t>
      </w:r>
      <w:r w:rsidDel="00000000" w:rsidR="00000000" w:rsidRPr="00000000">
        <w:rPr>
          <w:rtl w:val="0"/>
        </w:rPr>
      </w:r>
    </w:p>
    <w:p w:rsidR="00000000" w:rsidDel="00000000" w:rsidP="00000000" w:rsidRDefault="00000000" w:rsidRPr="00000000" w14:paraId="0000016D">
      <w:pPr>
        <w:spacing w:after="200" w:line="276" w:lineRule="auto"/>
        <w:rPr>
          <w:rFonts w:ascii="Times New Roman" w:cs="Times New Roman" w:eastAsia="Times New Roman" w:hAnsi="Times New Roman"/>
          <w:i w:val="1"/>
          <w:iCs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4"/>
          <w:szCs w:val="24"/>
          <w:highlight w:val="yellow"/>
          <w:rtl w:val="0"/>
        </w:rPr>
        <w:t xml:space="preserve">(Guideline for Appendix B: You are advised that each member should focus on different areas when proposing an action plan in relation to your group project work, to avoid repetition and plagiarism.)</w:t>
      </w: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Appendix B1: The proposal for a course of action to an entrepreneurial aim (team member 1)</w:t>
      </w:r>
    </w:p>
    <w:p w:rsidR="00000000" w:rsidDel="00000000" w:rsidP="00000000" w:rsidRDefault="00000000" w:rsidRPr="00000000" w14:paraId="00000170">
      <w:pPr>
        <w:rPr>
          <w:rFonts w:ascii="Times New Roman" w:cs="Times New Roman" w:eastAsia="Times New Roman" w:hAnsi="Times New Roman"/>
          <w:sz w:val="24"/>
          <w:szCs w:val="24"/>
        </w:rPr>
      </w:pPr>
      <w:bookmarkStart w:colFirst="0" w:colLast="0" w:name="_it7e0msa2ctx" w:id="0"/>
      <w:bookmarkEnd w:id="0"/>
      <w:r w:rsidDel="00000000" w:rsidR="00000000" w:rsidRPr="00000000">
        <w:rPr>
          <w:rFonts w:ascii="Times New Roman" w:cs="Times New Roman" w:eastAsia="Times New Roman" w:hAnsi="Times New Roman"/>
          <w:i w:val="1"/>
          <w:iCs w:val="1"/>
          <w:sz w:val="24"/>
          <w:szCs w:val="24"/>
          <w:highlight w:val="yellow"/>
          <w:rtl w:val="0"/>
        </w:rPr>
        <w:t xml:space="preserve">(Guideline: The proposal should be included here for Section 2.2 subsections completed by team member 1 for ‘Suggesting ways of overcoming barriers to entrepreneurial practice, using an evidence-based approach including proposing a course of action to achieve an entrepreneurial aim. The proposal is excluded from the word count.)</w:t>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right"/>
        <w:rPr>
          <w:rFonts w:ascii="Times New Roman" w:cs="Times New Roman" w:eastAsia="Times New Roman" w:hAnsi="Times New Roman"/>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single"/>
          <w:shd w:fill="auto" w:val="clear"/>
          <w:vertAlign w:val="baseline"/>
          <w:rtl w:val="0"/>
        </w:rPr>
        <w:t xml:space="preserve">By team member 1: </w:t>
      </w:r>
      <w:r w:rsidDel="00000000" w:rsidR="00000000" w:rsidRPr="00000000">
        <w:rPr>
          <w:rFonts w:ascii="Times New Roman" w:cs="Times New Roman" w:eastAsia="Times New Roman" w:hAnsi="Times New Roman"/>
          <w:i w:val="1"/>
          <w:iCs w:val="1"/>
          <w:smallCaps w:val="0"/>
          <w:strike w:val="0"/>
          <w:color w:val="000000"/>
          <w:sz w:val="24"/>
          <w:szCs w:val="24"/>
          <w:highlight w:val="yellow"/>
          <w:u w:val="single"/>
          <w:vertAlign w:val="baseline"/>
          <w:rtl w:val="0"/>
        </w:rPr>
        <w:t xml:space="preserve">(full name)</w:t>
      </w: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Appendix B2: The proposal for a course of action to an entrepreneurial aim (team member 2)</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yellow"/>
          <w:rtl w:val="0"/>
        </w:rPr>
        <w:t xml:space="preserve">(Guideline: The proposal should be included here for Section 2.2 subsections completed by team member 2 for ‘Suggesting ways of overcoming barriers to entrepreneurial practice, using an evidence-based approach including proposing a course of action to achieve an entrepreneurial aim. The proposal is excluded from the word count.)</w:t>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right"/>
        <w:rPr>
          <w:rFonts w:ascii="Times New Roman" w:cs="Times New Roman" w:eastAsia="Times New Roman" w:hAnsi="Times New Roman"/>
          <w:i w:val="1"/>
          <w:iCs w:val="1"/>
          <w:smallCaps w:val="0"/>
          <w:strike w:val="0"/>
          <w:color w:val="000000"/>
          <w:sz w:val="24"/>
          <w:szCs w:val="24"/>
          <w:u w:val="single"/>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single"/>
          <w:shd w:fill="auto" w:val="clear"/>
          <w:vertAlign w:val="baseline"/>
          <w:rtl w:val="0"/>
        </w:rPr>
        <w:t xml:space="preserve">By team member 2: </w:t>
      </w:r>
      <w:r w:rsidDel="00000000" w:rsidR="00000000" w:rsidRPr="00000000">
        <w:rPr>
          <w:rFonts w:ascii="Times New Roman" w:cs="Times New Roman" w:eastAsia="Times New Roman" w:hAnsi="Times New Roman"/>
          <w:i w:val="1"/>
          <w:iCs w:val="1"/>
          <w:sz w:val="24"/>
          <w:szCs w:val="24"/>
          <w:u w:val="single"/>
          <w:rtl w:val="0"/>
        </w:rPr>
        <w:t xml:space="preserve">Adetunji Marvellous Oluwaferanmi</w:t>
      </w: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Appendix B3: The proposal for a course of action to an entrepreneurial aim (team member 3)</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yellow"/>
          <w:rtl w:val="0"/>
        </w:rPr>
        <w:t xml:space="preserve">(Guideline: The proposal should be included here for Section 2.2 subsections completed by team member 3 for ‘Suggesting ways of overcoming barriers to entrepreneurial practice, using an evidence-based approach including proposing a course of action to achieve an entrepreneurial aim. The proposal is excluded from the word count.)</w: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right"/>
        <w:rPr>
          <w:rFonts w:ascii="Times New Roman" w:cs="Times New Roman" w:eastAsia="Times New Roman" w:hAnsi="Times New Roman"/>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single"/>
          <w:shd w:fill="auto" w:val="clear"/>
          <w:vertAlign w:val="baseline"/>
          <w:rtl w:val="0"/>
        </w:rPr>
        <w:t xml:space="preserve">By team member 3: </w:t>
      </w:r>
      <w:r w:rsidDel="00000000" w:rsidR="00000000" w:rsidRPr="00000000">
        <w:rPr>
          <w:rFonts w:ascii="Times New Roman" w:cs="Times New Roman" w:eastAsia="Times New Roman" w:hAnsi="Times New Roman"/>
          <w:i w:val="1"/>
          <w:iCs w:val="1"/>
          <w:smallCaps w:val="0"/>
          <w:strike w:val="0"/>
          <w:color w:val="000000"/>
          <w:sz w:val="24"/>
          <w:szCs w:val="24"/>
          <w:highlight w:val="yellow"/>
          <w:u w:val="single"/>
          <w:vertAlign w:val="baseline"/>
          <w:rtl w:val="0"/>
        </w:rPr>
        <w:t xml:space="preserve">(full name)</w:t>
      </w: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Appendix B4: The proposal for a course of action to an entrepreneurial aim (team member 4)</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yellow"/>
          <w:rtl w:val="0"/>
        </w:rPr>
        <w:t xml:space="preserve">(Guideline: The proposal should be included here for Section 2.2 subsections completed by team member 4 for ‘Suggesting ways of overcoming barriers to entrepreneurial practice, using an evidence-based approach including proposing a course of action to achieve an entrepreneurial aim. The proposal is excluded from the word count.)</w:t>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right"/>
        <w:rPr>
          <w:rFonts w:ascii="Times New Roman" w:cs="Times New Roman" w:eastAsia="Times New Roman" w:hAnsi="Times New Roman"/>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single"/>
          <w:shd w:fill="auto" w:val="clear"/>
          <w:vertAlign w:val="baseline"/>
          <w:rtl w:val="0"/>
        </w:rPr>
        <w:t xml:space="preserve">By team member 4: </w:t>
      </w:r>
      <w:r w:rsidDel="00000000" w:rsidR="00000000" w:rsidRPr="00000000">
        <w:rPr>
          <w:rFonts w:ascii="Times New Roman" w:cs="Times New Roman" w:eastAsia="Times New Roman" w:hAnsi="Times New Roman"/>
          <w:i w:val="1"/>
          <w:iCs w:val="1"/>
          <w:smallCaps w:val="0"/>
          <w:strike w:val="0"/>
          <w:color w:val="000000"/>
          <w:sz w:val="24"/>
          <w:szCs w:val="24"/>
          <w:highlight w:val="yellow"/>
          <w:u w:val="single"/>
          <w:vertAlign w:val="baseline"/>
          <w:rtl w:val="0"/>
        </w:rPr>
        <w:t xml:space="preserve">(full name)</w:t>
      </w:r>
      <w:r w:rsidDel="00000000" w:rsidR="00000000" w:rsidRPr="00000000">
        <w:rPr>
          <w:rtl w:val="0"/>
        </w:rPr>
      </w:r>
    </w:p>
    <w:p w:rsidR="00000000" w:rsidDel="00000000" w:rsidP="00000000" w:rsidRDefault="00000000" w:rsidRPr="00000000" w14:paraId="0000017B">
      <w:pPr>
        <w:spacing w:after="200" w:line="276"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Appendix B5: The proposal for a course of action to an entrepreneurial aim (team member 5)</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yellow"/>
          <w:rtl w:val="0"/>
        </w:rPr>
        <w:t xml:space="preserve">(Guideline: The proposal should be included here for Section 2.2 subsections completed by team member 5 for ‘Suggesting ways of overcoming barriers to entrepreneurial practice, using an evidence-based approach including proposing a course of action to achieve an entrepreneurial aim. The proposal is excluded from the word count.)</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right"/>
        <w:rPr>
          <w:rFonts w:ascii="Times New Roman" w:cs="Times New Roman" w:eastAsia="Times New Roman" w:hAnsi="Times New Roman"/>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single"/>
          <w:shd w:fill="auto" w:val="clear"/>
          <w:vertAlign w:val="baseline"/>
          <w:rtl w:val="0"/>
        </w:rPr>
        <w:t xml:space="preserve">By team member 5: </w:t>
      </w:r>
      <w:r w:rsidDel="00000000" w:rsidR="00000000" w:rsidRPr="00000000">
        <w:rPr>
          <w:rFonts w:ascii="Times New Roman" w:cs="Times New Roman" w:eastAsia="Times New Roman" w:hAnsi="Times New Roman"/>
          <w:i w:val="1"/>
          <w:iCs w:val="1"/>
          <w:smallCaps w:val="0"/>
          <w:strike w:val="0"/>
          <w:color w:val="000000"/>
          <w:sz w:val="24"/>
          <w:szCs w:val="24"/>
          <w:highlight w:val="yellow"/>
          <w:u w:val="single"/>
          <w:vertAlign w:val="baseline"/>
          <w:rtl w:val="0"/>
        </w:rPr>
        <w:t xml:space="preserve">(full name)</w:t>
      </w: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after="200" w:line="276"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tab/>
      </w:r>
    </w:p>
    <w:p w:rsidR="00000000" w:rsidDel="00000000" w:rsidP="00000000" w:rsidRDefault="00000000" w:rsidRPr="00000000" w14:paraId="00000182">
      <w:pPr>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highlight w:val="yellow"/>
          <w:rtl w:val="0"/>
        </w:rPr>
        <w:t xml:space="preserve">(Guideline: The above report sections should be supported by appropriate in-text citations in the CU APA referencing style.)</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 1 </w:t>
      </w:r>
      <w:r w:rsidDel="00000000" w:rsidR="00000000" w:rsidRPr="00000000">
        <w:rPr>
          <w:rFonts w:ascii="Times New Roman" w:cs="Times New Roman" w:eastAsia="Times New Roman" w:hAnsi="Times New Roman"/>
          <w:sz w:val="24"/>
          <w:szCs w:val="24"/>
          <w:highlight w:val="yellow"/>
          <w:rtl w:val="0"/>
        </w:rPr>
        <w:t xml:space="preserve">(full 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yellow"/>
          <w:rtl w:val="0"/>
        </w:rPr>
        <w:t xml:space="preserve">(Guideline: Your references are given here.)</w:t>
      </w: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sz w:val="24"/>
          <w:szCs w:val="24"/>
          <w:rtl w:val="0"/>
        </w:rPr>
        <w:t xml:space="preserve">Team member 2: Adetunji Marvellous Oluwaferanmi</w:t>
      </w: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Wikipedia contributors. (2026, July 8). MoSCoW method. Wikipedia, The Free Encyclopedia. </w:t>
      </w:r>
      <w:hyperlink r:id="rId35">
        <w:r w:rsidDel="00000000" w:rsidR="00000000" w:rsidRPr="00000000">
          <w:rPr>
            <w:rFonts w:ascii="Times New Roman" w:cs="Times New Roman" w:eastAsia="Times New Roman" w:hAnsi="Times New Roman"/>
            <w:color w:val="1155cc"/>
            <w:sz w:val="24"/>
            <w:szCs w:val="24"/>
            <w:u w:val="single"/>
            <w:rtl w:val="0"/>
          </w:rPr>
          <w:t xml:space="preserve">https://en.wikipedia.org/w/index.php?title=MoSCoW_method&amp;oldid=1363138458</w:t>
        </w:r>
      </w:hyperlink>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17 GDPR – Right to erasure (‘right to be forgotten’) - General Data Protection Regulation (GDPR). (2017, June 12). General Data Protection Regulation (GDPR). </w:t>
      </w:r>
      <w:hyperlink r:id="rId36">
        <w:r w:rsidDel="00000000" w:rsidR="00000000" w:rsidRPr="00000000">
          <w:rPr>
            <w:rFonts w:ascii="Times New Roman" w:cs="Times New Roman" w:eastAsia="Times New Roman" w:hAnsi="Times New Roman"/>
            <w:color w:val="1155cc"/>
            <w:sz w:val="24"/>
            <w:szCs w:val="24"/>
            <w:u w:val="single"/>
            <w:rtl w:val="0"/>
          </w:rPr>
          <w:t xml:space="preserve">https://gdpr-info.eu/art-17-gdpr/</w:t>
        </w:r>
      </w:hyperlink>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 (n.d.). What is personal data? </w:t>
      </w:r>
      <w:hyperlink r:id="rId37">
        <w:r w:rsidDel="00000000" w:rsidR="00000000" w:rsidRPr="00000000">
          <w:rPr>
            <w:rFonts w:ascii="Times New Roman" w:cs="Times New Roman" w:eastAsia="Times New Roman" w:hAnsi="Times New Roman"/>
            <w:color w:val="1155cc"/>
            <w:sz w:val="24"/>
            <w:szCs w:val="24"/>
            <w:u w:val="single"/>
            <w:rtl w:val="0"/>
          </w:rPr>
          <w:t xml:space="preserve">https://ico.org.uk/for-organisations/uk-gdpr-guidance-and-resources/personal-information-what-is-it/what-is-personal-data/what-is-personal-data/</w:t>
        </w:r>
      </w:hyperlink>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Content Accessibility Guidelines (WCAG) 2.2. (2024, December 12). </w:t>
      </w:r>
      <w:hyperlink r:id="rId38">
        <w:r w:rsidDel="00000000" w:rsidR="00000000" w:rsidRPr="00000000">
          <w:rPr>
            <w:rFonts w:ascii="Times New Roman" w:cs="Times New Roman" w:eastAsia="Times New Roman" w:hAnsi="Times New Roman"/>
            <w:color w:val="1155cc"/>
            <w:sz w:val="24"/>
            <w:szCs w:val="24"/>
            <w:u w:val="single"/>
            <w:rtl w:val="0"/>
          </w:rPr>
          <w:t xml:space="preserve">https://www.w3.org/TR/WCAG22/</w:t>
        </w:r>
      </w:hyperlink>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Act. (2026, July 31). Shaping Europe’s Digital Future. </w:t>
      </w:r>
      <w:hyperlink r:id="rId39">
        <w:r w:rsidDel="00000000" w:rsidR="00000000" w:rsidRPr="00000000">
          <w:rPr>
            <w:rFonts w:ascii="Times New Roman" w:cs="Times New Roman" w:eastAsia="Times New Roman" w:hAnsi="Times New Roman"/>
            <w:color w:val="1155cc"/>
            <w:sz w:val="24"/>
            <w:szCs w:val="24"/>
            <w:u w:val="single"/>
            <w:rtl w:val="0"/>
          </w:rPr>
          <w:t xml:space="preserve">https://digital-strategy.ec.europa.eu/en/policies/regulatory-framework-ai#1720699867912-0</w:t>
        </w:r>
      </w:hyperlink>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 Live Music Industry Statistics | 2026 Edition. (n.d.). </w:t>
      </w:r>
      <w:hyperlink r:id="rId40">
        <w:r w:rsidDel="00000000" w:rsidR="00000000" w:rsidRPr="00000000">
          <w:rPr>
            <w:rFonts w:ascii="Times New Roman" w:cs="Times New Roman" w:eastAsia="Times New Roman" w:hAnsi="Times New Roman"/>
            <w:color w:val="1155cc"/>
            <w:sz w:val="24"/>
            <w:szCs w:val="24"/>
            <w:u w:val="single"/>
            <w:rtl w:val="0"/>
          </w:rPr>
          <w:t xml:space="preserve">https://worldmetrics.org/uk-live-music-industry-statistics/</w:t>
        </w:r>
      </w:hyperlink>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Brooke, J. (1996). Sus: a “quick and dirty’usability. Usability evaluation in industry, 189(3), 189-194.</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 3 </w:t>
      </w:r>
      <w:r w:rsidDel="00000000" w:rsidR="00000000" w:rsidRPr="00000000">
        <w:rPr>
          <w:rFonts w:ascii="Times New Roman" w:cs="Times New Roman" w:eastAsia="Times New Roman" w:hAnsi="Times New Roman"/>
          <w:sz w:val="24"/>
          <w:szCs w:val="24"/>
          <w:highlight w:val="yellow"/>
          <w:rtl w:val="0"/>
        </w:rPr>
        <w:t xml:space="preserve">(full 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yellow"/>
          <w:rtl w:val="0"/>
        </w:rPr>
        <w:t xml:space="preserve">(Guideline: Your references are given here.)</w:t>
      </w: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 4 </w:t>
      </w:r>
      <w:r w:rsidDel="00000000" w:rsidR="00000000" w:rsidRPr="00000000">
        <w:rPr>
          <w:rFonts w:ascii="Times New Roman" w:cs="Times New Roman" w:eastAsia="Times New Roman" w:hAnsi="Times New Roman"/>
          <w:sz w:val="24"/>
          <w:szCs w:val="24"/>
          <w:highlight w:val="yellow"/>
          <w:rtl w:val="0"/>
        </w:rPr>
        <w:t xml:space="preserve">(full 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yellow"/>
          <w:rtl w:val="0"/>
        </w:rPr>
        <w:t xml:space="preserve">(Guideline: Your references are given here.)</w:t>
      </w: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 5 </w:t>
      </w:r>
      <w:r w:rsidDel="00000000" w:rsidR="00000000" w:rsidRPr="00000000">
        <w:rPr>
          <w:rFonts w:ascii="Times New Roman" w:cs="Times New Roman" w:eastAsia="Times New Roman" w:hAnsi="Times New Roman"/>
          <w:sz w:val="24"/>
          <w:szCs w:val="24"/>
          <w:highlight w:val="yellow"/>
          <w:rtl w:val="0"/>
        </w:rPr>
        <w:t xml:space="preserve">(full 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yellow"/>
          <w:rtl w:val="0"/>
        </w:rPr>
        <w:t xml:space="preserve">(Guideline: Your references are given here.)</w:t>
      </w: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[CMI Resources]</w:t>
      </w:r>
    </w:p>
    <w:p w:rsidR="00000000" w:rsidDel="00000000" w:rsidP="00000000" w:rsidRDefault="00000000" w:rsidRPr="00000000" w14:paraId="00000197">
      <w:pPr>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highlight w:val="yellow"/>
          <w:rtl w:val="0"/>
        </w:rPr>
        <w:t xml:space="preserve">(Guideline: You are advised to have a sub-section to include a list of references for the CMI Resources from LeadershipDirect in your report to support your evaluation in the CU APA referencing style.)</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 1 </w:t>
      </w:r>
      <w:r w:rsidDel="00000000" w:rsidR="00000000" w:rsidRPr="00000000">
        <w:rPr>
          <w:rFonts w:ascii="Times New Roman" w:cs="Times New Roman" w:eastAsia="Times New Roman" w:hAnsi="Times New Roman"/>
          <w:sz w:val="24"/>
          <w:szCs w:val="24"/>
          <w:highlight w:val="yellow"/>
          <w:rtl w:val="0"/>
        </w:rPr>
        <w:t xml:space="preserve">(full 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yellow"/>
          <w:rtl w:val="0"/>
        </w:rPr>
        <w:t xml:space="preserve">(Guideline: Your references are given here.)</w:t>
      </w: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 2: Adetunji Marvellous Oluwaferanmi</w:t>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Culture and Employee Engagement - CMI. (2021, May 18). CMI. </w:t>
      </w:r>
      <w:hyperlink r:id="rId41">
        <w:r w:rsidDel="00000000" w:rsidR="00000000" w:rsidRPr="00000000">
          <w:rPr>
            <w:rFonts w:ascii="Times New Roman" w:cs="Times New Roman" w:eastAsia="Times New Roman" w:hAnsi="Times New Roman"/>
            <w:color w:val="1155cc"/>
            <w:sz w:val="24"/>
            <w:szCs w:val="24"/>
            <w:u w:val="single"/>
            <w:rtl w:val="0"/>
          </w:rPr>
          <w:t xml:space="preserve">https://www.managers.org.uk/knowledge-and-insights/research-thought-leadership/management-transformed/culture-and-employee-engagement/</w:t>
        </w:r>
      </w:hyperlink>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Parker, A. (2026, May 7). Situational Leadership | ISEO Blue. Iseo Blue. </w:t>
      </w:r>
      <w:hyperlink r:id="rId42">
        <w:r w:rsidDel="00000000" w:rsidR="00000000" w:rsidRPr="00000000">
          <w:rPr>
            <w:rFonts w:ascii="Times New Roman" w:cs="Times New Roman" w:eastAsia="Times New Roman" w:hAnsi="Times New Roman"/>
            <w:color w:val="1155cc"/>
            <w:sz w:val="24"/>
            <w:szCs w:val="24"/>
            <w:u w:val="single"/>
            <w:rtl w:val="0"/>
          </w:rPr>
          <w:t xml:space="preserve">https://iseoblue.com/post/situational-leadership/</w:t>
        </w:r>
      </w:hyperlink>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 3 </w:t>
      </w:r>
      <w:r w:rsidDel="00000000" w:rsidR="00000000" w:rsidRPr="00000000">
        <w:rPr>
          <w:rFonts w:ascii="Times New Roman" w:cs="Times New Roman" w:eastAsia="Times New Roman" w:hAnsi="Times New Roman"/>
          <w:sz w:val="24"/>
          <w:szCs w:val="24"/>
          <w:highlight w:val="yellow"/>
          <w:rtl w:val="0"/>
        </w:rPr>
        <w:t xml:space="preserve">(full 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yellow"/>
          <w:rtl w:val="0"/>
        </w:rPr>
        <w:t xml:space="preserve">(Guideline: Your references are given here.)</w:t>
      </w: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 4 </w:t>
      </w:r>
      <w:r w:rsidDel="00000000" w:rsidR="00000000" w:rsidRPr="00000000">
        <w:rPr>
          <w:rFonts w:ascii="Times New Roman" w:cs="Times New Roman" w:eastAsia="Times New Roman" w:hAnsi="Times New Roman"/>
          <w:sz w:val="24"/>
          <w:szCs w:val="24"/>
          <w:highlight w:val="yellow"/>
          <w:rtl w:val="0"/>
        </w:rPr>
        <w:t xml:space="preserve">(full 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yellow"/>
          <w:rtl w:val="0"/>
        </w:rPr>
        <w:t xml:space="preserve">(Guideline: Your references are given here.)</w:t>
      </w: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 5 </w:t>
      </w:r>
      <w:r w:rsidDel="00000000" w:rsidR="00000000" w:rsidRPr="00000000">
        <w:rPr>
          <w:rFonts w:ascii="Times New Roman" w:cs="Times New Roman" w:eastAsia="Times New Roman" w:hAnsi="Times New Roman"/>
          <w:sz w:val="24"/>
          <w:szCs w:val="24"/>
          <w:highlight w:val="yellow"/>
          <w:rtl w:val="0"/>
        </w:rPr>
        <w:t xml:space="preserve">(full 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yellow"/>
          <w:rtl w:val="0"/>
        </w:rPr>
        <w:t xml:space="preserve">(Guideline: Your references are given here.)</w:t>
      </w: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5">
      <w:pPr>
        <w:spacing w:after="200" w:line="276"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A6">
      <w:pPr>
        <w:spacing w:after="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Word Count </w:t>
      </w:r>
    </w:p>
    <w:p w:rsidR="00000000" w:rsidDel="00000000" w:rsidP="00000000" w:rsidRDefault="00000000" w:rsidRPr="00000000" w14:paraId="000001A7">
      <w:pPr>
        <w:spacing w:after="200" w:line="276" w:lineRule="auto"/>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highlight w:val="yellow"/>
          <w:rtl w:val="0"/>
        </w:rPr>
        <w:t xml:space="preserve">(Guideline: You should state your word count at the end of written work. The work count will exclude the appendices and references. If you exceed the word limit by more than 10% (i.e. if you exceed 2,000 [+/- 10%], i.e., 2,200 for Section 1 or 3,500 [+/- 10%], i.e., 3,800 for Section 2, then your work will only be read up to the allocated limit.)</w:t>
      </w:r>
    </w:p>
    <w:p w:rsidR="00000000" w:rsidDel="00000000" w:rsidP="00000000" w:rsidRDefault="00000000" w:rsidRPr="00000000" w14:paraId="000001A8">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1] word count: </w:t>
      </w:r>
      <w:r w:rsidDel="00000000" w:rsidR="00000000" w:rsidRPr="00000000">
        <w:rPr>
          <w:rFonts w:ascii="Times New Roman" w:cs="Times New Roman" w:eastAsia="Times New Roman" w:hAnsi="Times New Roman"/>
          <w:sz w:val="24"/>
          <w:szCs w:val="24"/>
          <w:highlight w:val="yellow"/>
          <w:rtl w:val="0"/>
        </w:rPr>
        <w:t xml:space="preserve">(</w:t>
      </w:r>
      <w:r w:rsidDel="00000000" w:rsidR="00000000" w:rsidRPr="00000000">
        <w:rPr>
          <w:rFonts w:ascii="Times New Roman" w:cs="Times New Roman" w:eastAsia="Times New Roman" w:hAnsi="Times New Roman"/>
          <w:i w:val="1"/>
          <w:iCs w:val="1"/>
          <w:sz w:val="24"/>
          <w:szCs w:val="24"/>
          <w:highlight w:val="yellow"/>
          <w:rtl w:val="0"/>
        </w:rPr>
        <w:t xml:space="preserve">Guideline: </w:t>
      </w:r>
      <w:r w:rsidDel="00000000" w:rsidR="00000000" w:rsidRPr="00000000">
        <w:rPr>
          <w:rFonts w:ascii="Times New Roman" w:cs="Times New Roman" w:eastAsia="Times New Roman" w:hAnsi="Times New Roman"/>
          <w:sz w:val="24"/>
          <w:szCs w:val="24"/>
          <w:highlight w:val="yellow"/>
          <w:rtl w:val="0"/>
        </w:rPr>
        <w:t xml:space="preserve">Group report word count here)</w:t>
      </w: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 </w:t>
      </w:r>
    </w:p>
    <w:p w:rsidR="00000000" w:rsidDel="00000000" w:rsidP="00000000" w:rsidRDefault="00000000" w:rsidRPr="00000000" w14:paraId="000001AA">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 1 </w:t>
      </w:r>
      <w:r w:rsidDel="00000000" w:rsidR="00000000" w:rsidRPr="00000000">
        <w:rPr>
          <w:rFonts w:ascii="Times New Roman" w:cs="Times New Roman" w:eastAsia="Times New Roman" w:hAnsi="Times New Roman"/>
          <w:sz w:val="24"/>
          <w:szCs w:val="24"/>
          <w:highlight w:val="yellow"/>
          <w:rtl w:val="0"/>
        </w:rPr>
        <w:t xml:space="preserve">(full name)</w:t>
      </w:r>
      <w:r w:rsidDel="00000000" w:rsidR="00000000" w:rsidRPr="00000000">
        <w:rPr>
          <w:rFonts w:ascii="Times New Roman" w:cs="Times New Roman" w:eastAsia="Times New Roman" w:hAnsi="Times New Roman"/>
          <w:sz w:val="24"/>
          <w:szCs w:val="24"/>
          <w:rtl w:val="0"/>
        </w:rPr>
        <w:t xml:space="preserve"> – word count:</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Guideline: </w:t>
      </w:r>
      <w:r w:rsidDel="00000000" w:rsidR="00000000" w:rsidRPr="00000000">
        <w:rPr>
          <w:rFonts w:ascii="Times New Roman" w:cs="Times New Roman" w:eastAsia="Times New Roman" w:hAnsi="Times New Roman"/>
          <w:sz w:val="24"/>
          <w:szCs w:val="24"/>
          <w:highlight w:val="yellow"/>
          <w:rtl w:val="0"/>
        </w:rPr>
        <w:t xml:space="preserve">Individual report word count here)</w:t>
      </w:r>
      <w:r w:rsidDel="00000000" w:rsidR="00000000" w:rsidRPr="00000000">
        <w:rPr>
          <w:rtl w:val="0"/>
        </w:rPr>
      </w:r>
    </w:p>
    <w:p w:rsidR="00000000" w:rsidDel="00000000" w:rsidP="00000000" w:rsidRDefault="00000000" w:rsidRPr="00000000" w14:paraId="000001AB">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 2 </w:t>
      </w:r>
      <w:r w:rsidDel="00000000" w:rsidR="00000000" w:rsidRPr="00000000">
        <w:rPr>
          <w:rFonts w:ascii="Times New Roman" w:cs="Times New Roman" w:eastAsia="Times New Roman" w:hAnsi="Times New Roman"/>
          <w:sz w:val="24"/>
          <w:szCs w:val="24"/>
          <w:highlight w:val="yellow"/>
          <w:rtl w:val="0"/>
        </w:rPr>
        <w:t xml:space="preserve">(full name)</w:t>
      </w:r>
      <w:r w:rsidDel="00000000" w:rsidR="00000000" w:rsidRPr="00000000">
        <w:rPr>
          <w:rFonts w:ascii="Times New Roman" w:cs="Times New Roman" w:eastAsia="Times New Roman" w:hAnsi="Times New Roman"/>
          <w:sz w:val="24"/>
          <w:szCs w:val="24"/>
          <w:rtl w:val="0"/>
        </w:rPr>
        <w:t xml:space="preserve"> – word count:</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Guideline: </w:t>
      </w:r>
      <w:r w:rsidDel="00000000" w:rsidR="00000000" w:rsidRPr="00000000">
        <w:rPr>
          <w:rFonts w:ascii="Times New Roman" w:cs="Times New Roman" w:eastAsia="Times New Roman" w:hAnsi="Times New Roman"/>
          <w:sz w:val="24"/>
          <w:szCs w:val="24"/>
          <w:highlight w:val="yellow"/>
          <w:rtl w:val="0"/>
        </w:rPr>
        <w:t xml:space="preserve">Individual report word count here)</w:t>
      </w:r>
      <w:r w:rsidDel="00000000" w:rsidR="00000000" w:rsidRPr="00000000">
        <w:rPr>
          <w:rtl w:val="0"/>
        </w:rPr>
      </w:r>
    </w:p>
    <w:p w:rsidR="00000000" w:rsidDel="00000000" w:rsidP="00000000" w:rsidRDefault="00000000" w:rsidRPr="00000000" w14:paraId="000001AC">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 3 </w:t>
      </w:r>
      <w:r w:rsidDel="00000000" w:rsidR="00000000" w:rsidRPr="00000000">
        <w:rPr>
          <w:rFonts w:ascii="Times New Roman" w:cs="Times New Roman" w:eastAsia="Times New Roman" w:hAnsi="Times New Roman"/>
          <w:sz w:val="24"/>
          <w:szCs w:val="24"/>
          <w:highlight w:val="yellow"/>
          <w:rtl w:val="0"/>
        </w:rPr>
        <w:t xml:space="preserve">(full name)</w:t>
      </w:r>
      <w:r w:rsidDel="00000000" w:rsidR="00000000" w:rsidRPr="00000000">
        <w:rPr>
          <w:rFonts w:ascii="Times New Roman" w:cs="Times New Roman" w:eastAsia="Times New Roman" w:hAnsi="Times New Roman"/>
          <w:sz w:val="24"/>
          <w:szCs w:val="24"/>
          <w:rtl w:val="0"/>
        </w:rPr>
        <w:t xml:space="preserve"> – word count:</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Guideline: </w:t>
      </w:r>
      <w:r w:rsidDel="00000000" w:rsidR="00000000" w:rsidRPr="00000000">
        <w:rPr>
          <w:rFonts w:ascii="Times New Roman" w:cs="Times New Roman" w:eastAsia="Times New Roman" w:hAnsi="Times New Roman"/>
          <w:sz w:val="24"/>
          <w:szCs w:val="24"/>
          <w:highlight w:val="yellow"/>
          <w:rtl w:val="0"/>
        </w:rPr>
        <w:t xml:space="preserve">Individual report word count here)</w:t>
      </w:r>
      <w:r w:rsidDel="00000000" w:rsidR="00000000" w:rsidRPr="00000000">
        <w:rPr>
          <w:rtl w:val="0"/>
        </w:rPr>
      </w:r>
    </w:p>
    <w:p w:rsidR="00000000" w:rsidDel="00000000" w:rsidP="00000000" w:rsidRDefault="00000000" w:rsidRPr="00000000" w14:paraId="000001AD">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 4 </w:t>
      </w:r>
      <w:r w:rsidDel="00000000" w:rsidR="00000000" w:rsidRPr="00000000">
        <w:rPr>
          <w:rFonts w:ascii="Times New Roman" w:cs="Times New Roman" w:eastAsia="Times New Roman" w:hAnsi="Times New Roman"/>
          <w:sz w:val="24"/>
          <w:szCs w:val="24"/>
          <w:highlight w:val="yellow"/>
          <w:rtl w:val="0"/>
        </w:rPr>
        <w:t xml:space="preserve">(full name)</w:t>
      </w:r>
      <w:r w:rsidDel="00000000" w:rsidR="00000000" w:rsidRPr="00000000">
        <w:rPr>
          <w:rFonts w:ascii="Times New Roman" w:cs="Times New Roman" w:eastAsia="Times New Roman" w:hAnsi="Times New Roman"/>
          <w:sz w:val="24"/>
          <w:szCs w:val="24"/>
          <w:rtl w:val="0"/>
        </w:rPr>
        <w:t xml:space="preserve"> – word count:</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Guideline: </w:t>
      </w:r>
      <w:r w:rsidDel="00000000" w:rsidR="00000000" w:rsidRPr="00000000">
        <w:rPr>
          <w:rFonts w:ascii="Times New Roman" w:cs="Times New Roman" w:eastAsia="Times New Roman" w:hAnsi="Times New Roman"/>
          <w:sz w:val="24"/>
          <w:szCs w:val="24"/>
          <w:highlight w:val="yellow"/>
          <w:rtl w:val="0"/>
        </w:rPr>
        <w:t xml:space="preserve">Individual report word count here)</w:t>
      </w:r>
      <w:r w:rsidDel="00000000" w:rsidR="00000000" w:rsidRPr="00000000">
        <w:rPr>
          <w:rtl w:val="0"/>
        </w:rPr>
      </w:r>
    </w:p>
    <w:p w:rsidR="00000000" w:rsidDel="00000000" w:rsidP="00000000" w:rsidRDefault="00000000" w:rsidRPr="00000000" w14:paraId="000001AE">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 5 </w:t>
      </w:r>
      <w:r w:rsidDel="00000000" w:rsidR="00000000" w:rsidRPr="00000000">
        <w:rPr>
          <w:rFonts w:ascii="Times New Roman" w:cs="Times New Roman" w:eastAsia="Times New Roman" w:hAnsi="Times New Roman"/>
          <w:sz w:val="24"/>
          <w:szCs w:val="24"/>
          <w:highlight w:val="yellow"/>
          <w:rtl w:val="0"/>
        </w:rPr>
        <w:t xml:space="preserve">(full name)</w:t>
      </w:r>
      <w:r w:rsidDel="00000000" w:rsidR="00000000" w:rsidRPr="00000000">
        <w:rPr>
          <w:rFonts w:ascii="Times New Roman" w:cs="Times New Roman" w:eastAsia="Times New Roman" w:hAnsi="Times New Roman"/>
          <w:sz w:val="24"/>
          <w:szCs w:val="24"/>
          <w:rtl w:val="0"/>
        </w:rPr>
        <w:t xml:space="preserve"> – word count:</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Guideline: </w:t>
      </w:r>
      <w:r w:rsidDel="00000000" w:rsidR="00000000" w:rsidRPr="00000000">
        <w:rPr>
          <w:rFonts w:ascii="Times New Roman" w:cs="Times New Roman" w:eastAsia="Times New Roman" w:hAnsi="Times New Roman"/>
          <w:sz w:val="24"/>
          <w:szCs w:val="24"/>
          <w:highlight w:val="yellow"/>
          <w:rtl w:val="0"/>
        </w:rPr>
        <w:t xml:space="preserve">Individual report word count here)</w:t>
      </w: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sz w:val="28"/>
          <w:szCs w:val="28"/>
        </w:rPr>
      </w:pPr>
      <w:r w:rsidDel="00000000" w:rsidR="00000000" w:rsidRPr="00000000">
        <w:rPr>
          <w:rtl w:val="0"/>
        </w:rPr>
      </w:r>
    </w:p>
    <w:sectPr>
      <w:headerReference r:id="rId43" w:type="default"/>
      <w:footerReference r:id="rId44" w:type="default"/>
      <w:pgSz w:h="16838" w:w="11906" w:orient="portrait"/>
      <w:pgMar w:bottom="1440" w:top="1440" w:left="1440" w:right="1115.669291338583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t xml:space="preserve">Coventry University v2</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ind w:left="108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lvl>
    <w:lvl w:ilvl="1">
      <w:start w:val="2"/>
      <w:numFmt w:val="decimal"/>
      <w:lvlText w:val="%1.%2"/>
      <w:lvlJc w:val="left"/>
      <w:pPr>
        <w:ind w:left="1080" w:hanging="720"/>
      </w:pPr>
      <w:rPr/>
    </w:lvl>
    <w:lvl w:ilvl="2">
      <w:start w:val="5"/>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2160" w:hanging="180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880" w:hanging="2520"/>
      </w:pPr>
      <w:rPr/>
    </w:lvl>
  </w:abstractNum>
  <w:abstractNum w:abstractNumId="2">
    <w:lvl w:ilvl="0">
      <w:start w:val="2"/>
      <w:numFmt w:val="decimal"/>
      <w:lvlText w:val="%1."/>
      <w:lvlJc w:val="left"/>
      <w:pPr>
        <w:ind w:left="720" w:hanging="360"/>
      </w:pPr>
      <w:rPr/>
    </w:lvl>
    <w:lvl w:ilvl="1">
      <w:start w:val="2"/>
      <w:numFmt w:val="decimal"/>
      <w:lvlText w:val="%1.%2"/>
      <w:lvlJc w:val="left"/>
      <w:pPr>
        <w:ind w:left="1080" w:hanging="720"/>
      </w:pPr>
      <w:rPr/>
    </w:lvl>
    <w:lvl w:ilvl="2">
      <w:start w:val="7"/>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2160" w:hanging="180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880" w:hanging="2520"/>
      </w:pPr>
      <w:rPr/>
    </w:lvl>
  </w:abstractNum>
  <w:abstractNum w:abstractNumId="3">
    <w:lvl w:ilvl="0">
      <w:start w:val="2"/>
      <w:numFmt w:val="decimal"/>
      <w:lvlText w:val="%1."/>
      <w:lvlJc w:val="left"/>
      <w:pPr>
        <w:ind w:left="720" w:hanging="360"/>
      </w:pPr>
      <w:rPr/>
    </w:lvl>
    <w:lvl w:ilvl="1">
      <w:start w:val="2"/>
      <w:numFmt w:val="decimal"/>
      <w:lvlText w:val="%1.%2"/>
      <w:lvlJc w:val="left"/>
      <w:pPr>
        <w:ind w:left="1080" w:hanging="720"/>
      </w:pPr>
      <w:rPr/>
    </w:lvl>
    <w:lvl w:ilvl="2">
      <w:start w:val="1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2160" w:hanging="180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880" w:hanging="2520"/>
      </w:pPr>
      <w:rPr/>
    </w:lvl>
  </w:abstractNum>
  <w:abstractNum w:abstractNumId="4">
    <w:lvl w:ilvl="0">
      <w:start w:val="2"/>
      <w:numFmt w:val="decimal"/>
      <w:lvlText w:val="%1."/>
      <w:lvlJc w:val="left"/>
      <w:pPr>
        <w:ind w:left="720" w:hanging="360"/>
      </w:pPr>
      <w:rPr/>
    </w:lvl>
    <w:lvl w:ilvl="1">
      <w:start w:val="2"/>
      <w:numFmt w:val="decimal"/>
      <w:lvlText w:val="%1.%2"/>
      <w:lvlJc w:val="left"/>
      <w:pPr>
        <w:ind w:left="1080" w:hanging="720"/>
      </w:pPr>
      <w:rPr/>
    </w:lvl>
    <w:lvl w:ilvl="2">
      <w:start w:val="14"/>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2160" w:hanging="180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880" w:hanging="2520"/>
      </w:pPr>
      <w:rPr/>
    </w:lvl>
  </w:abstractNum>
  <w:abstractNum w:abstractNumId="5">
    <w:lvl w:ilvl="0">
      <w:start w:val="2"/>
      <w:numFmt w:val="decimal"/>
      <w:lvlText w:val="%1."/>
      <w:lvlJc w:val="left"/>
      <w:pPr>
        <w:ind w:left="720" w:hanging="360"/>
      </w:pPr>
      <w:rPr/>
    </w:lvl>
    <w:lvl w:ilvl="1">
      <w:start w:val="1"/>
      <w:numFmt w:val="decimal"/>
      <w:lvlText w:val="%1.%2"/>
      <w:lvlJc w:val="left"/>
      <w:pPr>
        <w:ind w:left="1080" w:hanging="720"/>
      </w:pPr>
      <w:rPr/>
    </w:lvl>
    <w:lvl w:ilvl="2">
      <w:start w:val="4"/>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2160" w:hanging="180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880" w:hanging="2520"/>
      </w:pPr>
      <w:rPr/>
    </w:lvl>
  </w:abstractNum>
  <w:abstractNum w:abstractNumId="6">
    <w:lvl w:ilvl="0">
      <w:start w:val="2"/>
      <w:numFmt w:val="decimal"/>
      <w:lvlText w:val="%1."/>
      <w:lvlJc w:val="left"/>
      <w:pPr>
        <w:ind w:left="720" w:hanging="360"/>
      </w:pPr>
      <w:rPr/>
    </w:lvl>
    <w:lvl w:ilvl="1">
      <w:start w:val="1"/>
      <w:numFmt w:val="decimal"/>
      <w:lvlText w:val="%1.%2"/>
      <w:lvlJc w:val="left"/>
      <w:pPr>
        <w:ind w:left="1080" w:hanging="720"/>
      </w:pPr>
      <w:rPr/>
    </w:lvl>
    <w:lvl w:ilvl="2">
      <w:start w:val="7"/>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2160" w:hanging="180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880" w:hanging="2520"/>
      </w:pPr>
      <w:rPr/>
    </w:lvl>
  </w:abstractNum>
  <w:abstractNum w:abstractNumId="7">
    <w:lvl w:ilvl="0">
      <w:start w:val="2"/>
      <w:numFmt w:val="decimal"/>
      <w:lvlText w:val="%1."/>
      <w:lvlJc w:val="left"/>
      <w:pPr>
        <w:ind w:left="720" w:hanging="360"/>
      </w:pPr>
      <w:rPr/>
    </w:lvl>
    <w:lvl w:ilvl="1">
      <w:start w:val="1"/>
      <w:numFmt w:val="decimal"/>
      <w:lvlText w:val="%1.%2"/>
      <w:lvlJc w:val="left"/>
      <w:pPr>
        <w:ind w:left="1080" w:hanging="720"/>
      </w:pPr>
      <w:rPr/>
    </w:lvl>
    <w:lvl w:ilvl="2">
      <w:start w:val="10"/>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2160" w:hanging="180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880" w:hanging="2520"/>
      </w:pPr>
      <w:rPr/>
    </w:lvl>
  </w:abstractNum>
  <w:abstractNum w:abstractNumId="8">
    <w:lvl w:ilvl="0">
      <w:start w:val="2"/>
      <w:numFmt w:val="decimal"/>
      <w:lvlText w:val="%1."/>
      <w:lvlJc w:val="left"/>
      <w:pPr>
        <w:ind w:left="720" w:hanging="360"/>
      </w:pPr>
      <w:rPr/>
    </w:lvl>
    <w:lvl w:ilvl="1">
      <w:start w:val="1"/>
      <w:numFmt w:val="decimal"/>
      <w:lvlText w:val="%1.%2"/>
      <w:lvlJc w:val="left"/>
      <w:pPr>
        <w:ind w:left="1080" w:hanging="720"/>
      </w:pPr>
      <w:rPr/>
    </w:lvl>
    <w:lvl w:ilvl="2">
      <w:start w:val="13"/>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2160" w:hanging="180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880" w:hanging="2520"/>
      </w:pPr>
      <w:rPr/>
    </w:lvl>
  </w:abstractNum>
  <w:abstractNum w:abstractNumId="9">
    <w:lvl w:ilvl="0">
      <w:start w:val="2"/>
      <w:numFmt w:val="decimal"/>
      <w:lvlText w:val="%1."/>
      <w:lvlJc w:val="left"/>
      <w:pPr>
        <w:ind w:left="720" w:hanging="360"/>
      </w:pPr>
      <w:rPr/>
    </w:lvl>
    <w:lvl w:ilvl="1">
      <w:start w:val="2"/>
      <w:numFmt w:val="decimal"/>
      <w:lvlText w:val="%1.%2"/>
      <w:lvlJc w:val="left"/>
      <w:pPr>
        <w:ind w:left="1080" w:hanging="720"/>
      </w:pPr>
      <w:rPr/>
    </w:lvl>
    <w:lvl w:ilvl="2">
      <w:start w:val="4"/>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2160" w:hanging="180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880" w:hanging="2520"/>
      </w:pPr>
      <w:rPr/>
    </w:lvl>
  </w:abstractNum>
  <w:abstractNum w:abstractNumId="10">
    <w:lvl w:ilvl="0">
      <w:start w:val="2"/>
      <w:numFmt w:val="decimal"/>
      <w:lvlText w:val="%1."/>
      <w:lvlJc w:val="left"/>
      <w:pPr>
        <w:ind w:left="720" w:hanging="360"/>
      </w:pPr>
      <w:rPr/>
    </w:lvl>
    <w:lvl w:ilvl="1">
      <w:start w:val="2"/>
      <w:numFmt w:val="decimal"/>
      <w:lvlText w:val="%1.%2"/>
      <w:lvlJc w:val="left"/>
      <w:pPr>
        <w:ind w:left="1080" w:hanging="720"/>
      </w:pPr>
      <w:rPr/>
    </w:lvl>
    <w:lvl w:ilvl="2">
      <w:start w:val="10"/>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2160" w:hanging="180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880" w:hanging="2520"/>
      </w:pPr>
      <w:rPr/>
    </w:lvl>
  </w:abstractNum>
  <w:abstractNum w:abstractNumId="11">
    <w:lvl w:ilvl="0">
      <w:start w:val="2"/>
      <w:numFmt w:val="decimal"/>
      <w:lvlText w:val="%1."/>
      <w:lvlJc w:val="left"/>
      <w:pPr>
        <w:ind w:left="720" w:hanging="360"/>
      </w:pPr>
      <w:rPr/>
    </w:lvl>
    <w:lvl w:ilvl="1">
      <w:start w:val="2"/>
      <w:numFmt w:val="decimal"/>
      <w:lvlText w:val="%1.%2"/>
      <w:lvlJc w:val="left"/>
      <w:pPr>
        <w:ind w:left="1080" w:hanging="720"/>
      </w:pPr>
      <w:rPr/>
    </w:lvl>
    <w:lvl w:ilvl="2">
      <w:start w:val="13"/>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2160" w:hanging="180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880" w:hanging="2520"/>
      </w:pPr>
      <w:rPr/>
    </w:lvl>
  </w:abstractNum>
  <w:abstractNum w:abstractNumId="12">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2160" w:hanging="180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880" w:hanging="2520"/>
      </w:pPr>
      <w:rPr/>
    </w:lvl>
  </w:abstractNum>
  <w:abstractNum w:abstractNumId="13">
    <w:lvl w:ilvl="0">
      <w:start w:val="2"/>
      <w:numFmt w:val="decimal"/>
      <w:lvlText w:val="%1."/>
      <w:lvlJc w:val="left"/>
      <w:pPr>
        <w:ind w:left="720" w:hanging="360"/>
      </w:pPr>
      <w:rPr/>
    </w:lvl>
    <w:lvl w:ilvl="1">
      <w:start w:val="2"/>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2160" w:hanging="180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880" w:hanging="2520"/>
      </w:pPr>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iCs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orldmetrics.org/uk-live-music-industry-statistics/" TargetMode="External"/><Relationship Id="rId20" Type="http://schemas.openxmlformats.org/officeDocument/2006/relationships/image" Target="media/image19.png"/><Relationship Id="rId42" Type="http://schemas.openxmlformats.org/officeDocument/2006/relationships/hyperlink" Target="https://iseoblue.com/post/situational-leadership/" TargetMode="External"/><Relationship Id="rId41" Type="http://schemas.openxmlformats.org/officeDocument/2006/relationships/hyperlink" Target="https://www.managers.org.uk/knowledge-and-insights/research-thought-leadership/management-transformed/culture-and-employee-engagement/" TargetMode="External"/><Relationship Id="rId22" Type="http://schemas.openxmlformats.org/officeDocument/2006/relationships/image" Target="media/image6.png"/><Relationship Id="rId44" Type="http://schemas.openxmlformats.org/officeDocument/2006/relationships/footer" Target="footer1.xml"/><Relationship Id="rId21" Type="http://schemas.openxmlformats.org/officeDocument/2006/relationships/image" Target="media/image24.png"/><Relationship Id="rId43" Type="http://schemas.openxmlformats.org/officeDocument/2006/relationships/header" Target="header1.xml"/><Relationship Id="rId24" Type="http://schemas.openxmlformats.org/officeDocument/2006/relationships/image" Target="media/image10.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16.png"/><Relationship Id="rId25" Type="http://schemas.openxmlformats.org/officeDocument/2006/relationships/image" Target="media/image21.png"/><Relationship Id="rId28" Type="http://schemas.openxmlformats.org/officeDocument/2006/relationships/image" Target="media/image23.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hyperlink" Target="https://www.scrum.org/resources/blog/scrum-brief-history-long-lived-hype" TargetMode="External"/><Relationship Id="rId29" Type="http://schemas.openxmlformats.org/officeDocument/2006/relationships/image" Target="media/image18.png"/><Relationship Id="rId7" Type="http://schemas.openxmlformats.org/officeDocument/2006/relationships/image" Target="media/image27.png"/><Relationship Id="rId8" Type="http://schemas.openxmlformats.org/officeDocument/2006/relationships/image" Target="media/image26.png"/><Relationship Id="rId31" Type="http://schemas.openxmlformats.org/officeDocument/2006/relationships/image" Target="media/image1.png"/><Relationship Id="rId30" Type="http://schemas.openxmlformats.org/officeDocument/2006/relationships/image" Target="media/image7.png"/><Relationship Id="rId11" Type="http://schemas.openxmlformats.org/officeDocument/2006/relationships/image" Target="media/image20.png"/><Relationship Id="rId33" Type="http://schemas.openxmlformats.org/officeDocument/2006/relationships/image" Target="media/image12.png"/><Relationship Id="rId10" Type="http://schemas.openxmlformats.org/officeDocument/2006/relationships/image" Target="media/image14.png"/><Relationship Id="rId32" Type="http://schemas.openxmlformats.org/officeDocument/2006/relationships/image" Target="media/image11.png"/><Relationship Id="rId13" Type="http://schemas.openxmlformats.org/officeDocument/2006/relationships/image" Target="media/image13.png"/><Relationship Id="rId35" Type="http://schemas.openxmlformats.org/officeDocument/2006/relationships/hyperlink" Target="https://en.wikipedia.org/w/index.php?title=MoSCoW_method&amp;oldid=1363138458" TargetMode="External"/><Relationship Id="rId12" Type="http://schemas.openxmlformats.org/officeDocument/2006/relationships/image" Target="media/image2.png"/><Relationship Id="rId34" Type="http://schemas.openxmlformats.org/officeDocument/2006/relationships/image" Target="media/image28.png"/><Relationship Id="rId15" Type="http://schemas.openxmlformats.org/officeDocument/2006/relationships/image" Target="media/image5.png"/><Relationship Id="rId37" Type="http://schemas.openxmlformats.org/officeDocument/2006/relationships/hyperlink" Target="https://ico.org.uk/for-organisations/uk-gdpr-guidance-and-resources/personal-information-what-is-it/what-is-personal-data/what-is-personal-data/" TargetMode="External"/><Relationship Id="rId14" Type="http://schemas.openxmlformats.org/officeDocument/2006/relationships/image" Target="media/image22.png"/><Relationship Id="rId36" Type="http://schemas.openxmlformats.org/officeDocument/2006/relationships/hyperlink" Target="https://gdpr-info.eu/art-17-gdpr/" TargetMode="External"/><Relationship Id="rId17" Type="http://schemas.openxmlformats.org/officeDocument/2006/relationships/image" Target="media/image4.png"/><Relationship Id="rId39" Type="http://schemas.openxmlformats.org/officeDocument/2006/relationships/hyperlink" Target="https://digital-strategy.ec.europa.eu/en/policies/regulatory-framework-ai#1720699867912-0" TargetMode="External"/><Relationship Id="rId16" Type="http://schemas.openxmlformats.org/officeDocument/2006/relationships/image" Target="media/image8.png"/><Relationship Id="rId38" Type="http://schemas.openxmlformats.org/officeDocument/2006/relationships/hyperlink" Target="https://www.w3.org/TR/WCAG22/" TargetMode="External"/><Relationship Id="rId19" Type="http://schemas.openxmlformats.org/officeDocument/2006/relationships/image" Target="media/image3.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