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F2C59"/>
            <w:tcMar>
              <w:top w:w="220" w:type="dxa"/>
              <w:bottom w:w="220" w:type="dxa"/>
              <w:left w:w="240" w:type="dxa"/>
              <w:right w:w="240" w:type="dxa"/>
            </w:tcMar>
          </w:tcPr>
          <w:p>
            <w:pPr>
              <w:spacing w:after="80"/>
            </w:pPr>
            <w:r>
              <w:rPr>
                <w:b/>
                <w:color w:val="5EEAD4"/>
                <w:sz w:val="19"/>
              </w:rPr>
              <w:t>SMART INDIA HACKATHON (SIH)  |  AICTE REGULATION BUREAU  |  MASTER BLUEPRINT</w:t>
            </w:r>
          </w:p>
          <w:p>
            <w:pPr>
              <w:spacing w:after="120"/>
            </w:pPr>
            <w:r>
              <w:rPr>
                <w:b/>
                <w:color w:val="FFFFFF"/>
                <w:sz w:val="36"/>
              </w:rPr>
              <w:t>Problem Statement ID26261: AI-Powered Application Validation, Document Authentication &amp; Regulatory Compliance Verification</w:t>
            </w:r>
          </w:p>
          <w:p>
            <w:pPr>
              <w:spacing w:after="0"/>
            </w:pPr>
            <w:r>
              <w:rPr>
                <w:color w:val="CBD5E1"/>
                <w:sz w:val="21"/>
              </w:rPr>
              <w:t>End-to-End Technical Architecture, Forensics &amp; Computer Vision Pipeline, Configurable APH Rule Engine, Feasibility Analysis, and Prototype Implementation Guide</w:t>
            </w:r>
          </w:p>
        </w:tc>
      </w:tr>
    </w:tbl>
    <w:p>
      <w:pPr>
        <w:spacing w:after="80"/>
      </w:pP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520"/>
        <w:gridCol w:w="2520"/>
        <w:gridCol w:w="2520"/>
        <w:gridCol w:w="2520"/>
      </w:tblGrid>
      <w:tr>
        <w:tc>
          <w:tcPr>
            <w:tcW w:type="dxa" w:w="2160"/>
            <w:vAlign w:val="center"/>
            <w:tcMar>
              <w:top w:w="90" w:type="dxa"/>
              <w:bottom w:w="90" w:type="dxa"/>
              <w:left w:w="120" w:type="dxa"/>
              <w:right w:w="120" w:type="dxa"/>
            </w:tcMar>
            <w:shd w:fill="0F2C59"/>
          </w:tcPr>
          <w:p>
            <w:pPr>
              <w:spacing w:after="0"/>
            </w:pPr>
            <w:r>
              <w:rPr>
                <w:b/>
                <w:color w:val="FFFFFF"/>
                <w:sz w:val="20"/>
              </w:rPr>
              <w:t>Metadata Field</w:t>
            </w:r>
          </w:p>
        </w:tc>
        <w:tc>
          <w:tcPr>
            <w:tcW w:type="dxa" w:w="2736"/>
            <w:vAlign w:val="center"/>
            <w:tcMar>
              <w:top w:w="90" w:type="dxa"/>
              <w:bottom w:w="90" w:type="dxa"/>
              <w:left w:w="120" w:type="dxa"/>
              <w:right w:w="120" w:type="dxa"/>
            </w:tcMar>
            <w:shd w:fill="0F2C59"/>
          </w:tcPr>
          <w:p>
            <w:pPr>
              <w:spacing w:after="0"/>
            </w:pPr>
            <w:r>
              <w:rPr>
                <w:b/>
                <w:color w:val="FFFFFF"/>
                <w:sz w:val="20"/>
              </w:rPr>
              <w:t>Official Specification</w:t>
            </w:r>
          </w:p>
        </w:tc>
        <w:tc>
          <w:tcPr>
            <w:tcW w:type="dxa" w:w="2304"/>
            <w:vAlign w:val="center"/>
            <w:tcMar>
              <w:top w:w="90" w:type="dxa"/>
              <w:bottom w:w="90" w:type="dxa"/>
              <w:left w:w="120" w:type="dxa"/>
              <w:right w:w="120" w:type="dxa"/>
            </w:tcMar>
            <w:shd w:fill="0F2C59"/>
          </w:tcPr>
          <w:p>
            <w:pPr>
              <w:spacing w:after="0"/>
            </w:pPr>
            <w:r>
              <w:rPr>
                <w:b/>
                <w:color w:val="FFFFFF"/>
                <w:sz w:val="20"/>
              </w:rPr>
              <w:t>Solution Attributes</w:t>
            </w:r>
          </w:p>
        </w:tc>
        <w:tc>
          <w:tcPr>
            <w:tcW w:type="dxa" w:w="2880"/>
            <w:vAlign w:val="center"/>
            <w:tcMar>
              <w:top w:w="90" w:type="dxa"/>
              <w:bottom w:w="90" w:type="dxa"/>
              <w:left w:w="120" w:type="dxa"/>
              <w:right w:w="120" w:type="dxa"/>
            </w:tcMar>
            <w:shd w:fill="0F2C59"/>
          </w:tcPr>
          <w:p>
            <w:pPr>
              <w:spacing w:after="0"/>
            </w:pPr>
            <w:r>
              <w:rPr>
                <w:b/>
                <w:color w:val="FFFFFF"/>
                <w:sz w:val="20"/>
              </w:rPr>
              <w:t>Target Configuration</w:t>
            </w:r>
          </w:p>
        </w:tc>
      </w:tr>
      <w:tr>
        <w:tc>
          <w:tcPr>
            <w:tcW w:type="dxa" w:w="2160"/>
            <w:vAlign w:val="center"/>
            <w:tcMar>
              <w:top w:w="90" w:type="dxa"/>
              <w:bottom w:w="90" w:type="dxa"/>
              <w:left w:w="120" w:type="dxa"/>
              <w:right w:w="120" w:type="dxa"/>
            </w:tcMar>
          </w:tcPr>
          <w:p>
            <w:pPr>
              <w:spacing w:after="0"/>
            </w:pPr>
            <w:r>
              <w:rPr>
                <w:b/>
                <w:sz w:val="19"/>
              </w:rPr>
              <w:t>Problem Statement ID</w:t>
            </w:r>
          </w:p>
        </w:tc>
        <w:tc>
          <w:tcPr>
            <w:tcW w:type="dxa" w:w="2736"/>
            <w:vAlign w:val="center"/>
            <w:tcMar>
              <w:top w:w="90" w:type="dxa"/>
              <w:bottom w:w="90" w:type="dxa"/>
              <w:left w:w="120" w:type="dxa"/>
              <w:right w:w="120" w:type="dxa"/>
            </w:tcMar>
          </w:tcPr>
          <w:p>
            <w:pPr>
              <w:spacing w:after="0"/>
            </w:pPr>
            <w:r>
              <w:rPr>
                <w:sz w:val="19"/>
              </w:rPr>
              <w:t>ID26261</w:t>
            </w:r>
          </w:p>
        </w:tc>
        <w:tc>
          <w:tcPr>
            <w:tcW w:type="dxa" w:w="2304"/>
            <w:vAlign w:val="center"/>
            <w:tcMar>
              <w:top w:w="90" w:type="dxa"/>
              <w:bottom w:w="90" w:type="dxa"/>
              <w:left w:w="120" w:type="dxa"/>
              <w:right w:w="120" w:type="dxa"/>
            </w:tcMar>
          </w:tcPr>
          <w:p>
            <w:pPr>
              <w:spacing w:after="0"/>
            </w:pPr>
            <w:r>
              <w:rPr>
                <w:b/>
                <w:sz w:val="19"/>
              </w:rPr>
              <w:t>Proposed Product Name</w:t>
            </w:r>
          </w:p>
        </w:tc>
        <w:tc>
          <w:tcPr>
            <w:tcW w:type="dxa" w:w="2880"/>
            <w:vAlign w:val="center"/>
            <w:tcMar>
              <w:top w:w="90" w:type="dxa"/>
              <w:bottom w:w="90" w:type="dxa"/>
              <w:left w:w="120" w:type="dxa"/>
              <w:right w:w="120" w:type="dxa"/>
            </w:tcMar>
          </w:tcPr>
          <w:p>
            <w:pPr>
              <w:spacing w:after="0"/>
            </w:pPr>
            <w:r>
              <w:rPr>
                <w:sz w:val="19"/>
              </w:rPr>
              <w:t>PRAMAAN-AICTE (AI Scrutiny &amp; Forensics Suite)</w:t>
            </w:r>
          </w:p>
        </w:tc>
      </w:tr>
      <w:tr>
        <w:tc>
          <w:tcPr>
            <w:tcW w:type="dxa" w:w="2160"/>
            <w:vAlign w:val="center"/>
            <w:tcMar>
              <w:top w:w="90" w:type="dxa"/>
              <w:bottom w:w="90" w:type="dxa"/>
              <w:left w:w="120" w:type="dxa"/>
              <w:right w:w="120" w:type="dxa"/>
            </w:tcMar>
            <w:shd w:fill="F1F5F9"/>
          </w:tcPr>
          <w:p>
            <w:pPr>
              <w:spacing w:after="0"/>
            </w:pPr>
            <w:r>
              <w:rPr>
                <w:b/>
                <w:sz w:val="19"/>
              </w:rPr>
              <w:t>Organization / Ministry</w:t>
            </w:r>
          </w:p>
        </w:tc>
        <w:tc>
          <w:tcPr>
            <w:tcW w:type="dxa" w:w="2736"/>
            <w:vAlign w:val="center"/>
            <w:tcMar>
              <w:top w:w="90" w:type="dxa"/>
              <w:bottom w:w="90" w:type="dxa"/>
              <w:left w:w="120" w:type="dxa"/>
              <w:right w:w="120" w:type="dxa"/>
            </w:tcMar>
            <w:shd w:fill="F1F5F9"/>
          </w:tcPr>
          <w:p>
            <w:pPr>
              <w:spacing w:after="0"/>
            </w:pPr>
            <w:r>
              <w:rPr>
                <w:sz w:val="19"/>
              </w:rPr>
              <w:t>AICTE, Ministry of Education, Govt. of India</w:t>
            </w:r>
          </w:p>
        </w:tc>
        <w:tc>
          <w:tcPr>
            <w:tcW w:type="dxa" w:w="2304"/>
            <w:vAlign w:val="center"/>
            <w:tcMar>
              <w:top w:w="90" w:type="dxa"/>
              <w:bottom w:w="90" w:type="dxa"/>
              <w:left w:w="120" w:type="dxa"/>
              <w:right w:w="120" w:type="dxa"/>
            </w:tcMar>
            <w:shd w:fill="F1F5F9"/>
          </w:tcPr>
          <w:p>
            <w:pPr>
              <w:spacing w:after="0"/>
            </w:pPr>
            <w:r>
              <w:rPr>
                <w:b/>
                <w:sz w:val="19"/>
              </w:rPr>
              <w:t>Application Form Factor</w:t>
            </w:r>
          </w:p>
        </w:tc>
        <w:tc>
          <w:tcPr>
            <w:tcW w:type="dxa" w:w="2880"/>
            <w:vAlign w:val="center"/>
            <w:tcMar>
              <w:top w:w="90" w:type="dxa"/>
              <w:bottom w:w="90" w:type="dxa"/>
              <w:left w:w="120" w:type="dxa"/>
              <w:right w:w="120" w:type="dxa"/>
            </w:tcMar>
            <w:shd w:fill="F1F5F9"/>
          </w:tcPr>
          <w:p>
            <w:pPr>
              <w:spacing w:after="0"/>
            </w:pPr>
            <w:r>
              <w:rPr>
                <w:sz w:val="19"/>
              </w:rPr>
              <w:t>Hybrid: Desktop Web Portal + Companion Mobile PWA</w:t>
            </w:r>
          </w:p>
        </w:tc>
      </w:tr>
      <w:tr>
        <w:tc>
          <w:tcPr>
            <w:tcW w:type="dxa" w:w="2160"/>
            <w:vAlign w:val="center"/>
            <w:tcMar>
              <w:top w:w="90" w:type="dxa"/>
              <w:bottom w:w="90" w:type="dxa"/>
              <w:left w:w="120" w:type="dxa"/>
              <w:right w:w="120" w:type="dxa"/>
            </w:tcMar>
          </w:tcPr>
          <w:p>
            <w:pPr>
              <w:spacing w:after="0"/>
            </w:pPr>
            <w:r>
              <w:rPr>
                <w:b/>
                <w:sz w:val="19"/>
              </w:rPr>
              <w:t>Domain &amp; Category</w:t>
            </w:r>
          </w:p>
        </w:tc>
        <w:tc>
          <w:tcPr>
            <w:tcW w:type="dxa" w:w="2736"/>
            <w:vAlign w:val="center"/>
            <w:tcMar>
              <w:top w:w="90" w:type="dxa"/>
              <w:bottom w:w="90" w:type="dxa"/>
              <w:left w:w="120" w:type="dxa"/>
              <w:right w:w="120" w:type="dxa"/>
            </w:tcMar>
          </w:tcPr>
          <w:p>
            <w:pPr>
              <w:spacing w:after="0"/>
            </w:pPr>
            <w:r>
              <w:rPr>
                <w:sz w:val="19"/>
              </w:rPr>
              <w:t>Software / GovTech / Multimodal AI &amp; Forensics</w:t>
            </w:r>
          </w:p>
        </w:tc>
        <w:tc>
          <w:tcPr>
            <w:tcW w:type="dxa" w:w="2304"/>
            <w:vAlign w:val="center"/>
            <w:tcMar>
              <w:top w:w="90" w:type="dxa"/>
              <w:bottom w:w="90" w:type="dxa"/>
              <w:left w:w="120" w:type="dxa"/>
              <w:right w:w="120" w:type="dxa"/>
            </w:tcMar>
          </w:tcPr>
          <w:p>
            <w:pPr>
              <w:spacing w:after="0"/>
            </w:pPr>
            <w:r>
              <w:rPr>
                <w:b/>
                <w:sz w:val="19"/>
              </w:rPr>
              <w:t>Regulatory Governance</w:t>
            </w:r>
          </w:p>
        </w:tc>
        <w:tc>
          <w:tcPr>
            <w:tcW w:type="dxa" w:w="2880"/>
            <w:vAlign w:val="center"/>
            <w:tcMar>
              <w:top w:w="90" w:type="dxa"/>
              <w:bottom w:w="90" w:type="dxa"/>
              <w:left w:w="120" w:type="dxa"/>
              <w:right w:w="120" w:type="dxa"/>
            </w:tcMar>
          </w:tcPr>
          <w:p>
            <w:pPr>
              <w:spacing w:after="0"/>
            </w:pPr>
            <w:r>
              <w:rPr>
                <w:sz w:val="19"/>
              </w:rPr>
              <w:t>Advisory Decision-Support with Mandatory HITL Gate</w:t>
            </w:r>
          </w:p>
        </w:tc>
      </w:tr>
    </w:tbl>
    <w:p>
      <w:pPr>
        <w:keepNext/>
        <w:spacing w:before="320" w:after="120"/>
        <w:pBdr>
          <w:bottom w:val="single" w:sz="12" w:space="4" w:color="0D9488"/>
        </w:pBdr>
      </w:pPr>
      <w:r>
        <w:rPr>
          <w:rFonts w:ascii="Calibri" w:hAnsi="Calibri"/>
          <w:b/>
          <w:color w:val="0D9488"/>
          <w:sz w:val="30"/>
        </w:rPr>
        <w:t xml:space="preserve">01  </w:t>
      </w:r>
      <w:r>
        <w:rPr>
          <w:rFonts w:ascii="Calibri" w:hAnsi="Calibri"/>
          <w:b/>
          <w:color w:val="0F2C59"/>
          <w:sz w:val="30"/>
        </w:rPr>
        <w:t>OFFICIAL PROBLEM STATEMENT &amp; PROBLEM IN HAND</w:t>
      </w:r>
    </w:p>
    <w:tbl>
      <w:tblPr>
        <w:tblW w:type="auto" w:w="0"/>
        <w:jc w:val="center"/>
        <w:tblLook w:firstColumn="1" w:firstRow="1" w:lastColumn="0" w:lastRow="0" w:noHBand="0" w:noVBand="1" w:val="04A0"/>
      </w:tblPr>
      <w:tblGrid>
        <w:gridCol w:w="10080"/>
      </w:tblGrid>
      <w:tr>
        <w:tc>
          <w:tcPr>
            <w:tcW w:type="dxa" w:w="10080"/>
            <w:shd w:fill="E0F2FE"/>
            <w:tcMar>
              <w:top w:w="140" w:type="dxa"/>
              <w:bottom w:w="140" w:type="dxa"/>
              <w:left w:w="180" w:type="dxa"/>
              <w:right w:w="180" w:type="dxa"/>
            </w:tcMar>
            <w:tcBorders>
              <w:left w:val="single" w:sz="24" w:space="0" w:color="0D9488"/>
              <w:top w:val="none"/>
              <w:right w:val="none"/>
              <w:bottom w:val="none"/>
            </w:tcBorders>
          </w:tcPr>
          <w:p>
            <w:pPr>
              <w:spacing w:after="60"/>
            </w:pPr>
            <w:r>
              <w:rPr>
                <w:b/>
                <w:color w:val="0F2C59"/>
                <w:sz w:val="22"/>
              </w:rPr>
              <w:t>Official Problem Statement Mandate (ID26261)</w:t>
              <w:br/>
            </w:r>
            <w:r>
              <w:rPr>
                <w:color w:val="0F172A"/>
                <w:sz w:val="20"/>
              </w:rPr>
              <w:t>Develop an AI-powered platform integrated with the AICTE portal to validate application information and supporting documents against available institutional records and configurable regulatory requirements; identify potential anomalies or document manipulation; facilitate verification through original issuing authorities or other officially authorized sources; and flag possible infrastructure or other compliance gaps for review by authorized officials. The platform must provide evidence-linked findings and a clear verification status while retaining regulatory scrutiny, inspection and final decision-making with the competent AICTE authorities.</w:t>
            </w:r>
          </w:p>
        </w:tc>
      </w:tr>
    </w:tbl>
    <w:p>
      <w:pPr>
        <w:spacing w:after="40"/>
      </w:pPr>
    </w:p>
    <w:p>
      <w:pPr>
        <w:keepNext/>
        <w:spacing w:before="200" w:after="80"/>
      </w:pPr>
      <w:r>
        <w:rPr>
          <w:rFonts w:ascii="Calibri" w:hAnsi="Calibri"/>
          <w:b/>
          <w:color w:val="0F2C59"/>
          <w:sz w:val="24"/>
        </w:rPr>
        <w:t>1.1 Detailed Analysis of the Problem in Hand (Current Bottlenecks)</w:t>
      </w:r>
    </w:p>
    <w:p>
      <w:r>
        <w:t>Every academic year, the All India Council for Technical Education (AICTE) processes thousands of institutional applications for Extension of Approval (EoA), establishment of new institutions, increase in intake, introduction of new courses (including BBA/BCA/BMS), and institutional status changes in accordance with the AICTE Approval Process Handbook (APH). Currently, the scrutiny and verification lifecycle suffers from five critical operational bottlenecks:</w:t>
      </w:r>
    </w:p>
    <w:p>
      <w:pPr>
        <w:pStyle w:val="ListBullet"/>
        <w:spacing w:before="40" w:after="80" w:line="276" w:lineRule="auto"/>
      </w:pPr>
      <w:r>
        <w:rPr>
          <w:b/>
          <w:color w:val="0F172A"/>
        </w:rPr>
        <w:t xml:space="preserve">1. Massive Document Volume &amp; Repetitive Manual Checking: </w:t>
      </w:r>
      <w:r>
        <w:rPr>
          <w:color w:val="0F172A"/>
        </w:rPr>
        <w:t>A single institutional application contains 30 to 60+ multi-page documents—including Affidavits, Land Registration Deeds, Municipal Building Plans, Fire Safety NOCs, Lease Agreements, Bank Statements, TER Payment Receipts, and NAAC/NBA Accreditation Certificates. Manual scrutiny by Regional and Bureau officials takes 3–4 hours per file, causing severe processing backlogs.</w:t>
      </w:r>
    </w:p>
    <w:p>
      <w:pPr>
        <w:pStyle w:val="ListBullet"/>
        <w:spacing w:before="40" w:after="80" w:line="276" w:lineRule="auto"/>
      </w:pPr>
      <w:r>
        <w:rPr>
          <w:b/>
          <w:color w:val="0F172A"/>
        </w:rPr>
        <w:t xml:space="preserve">2. Cross-Document &amp; Historical Data Inconsistencies: </w:t>
      </w:r>
      <w:r>
        <w:rPr>
          <w:color w:val="0F172A"/>
        </w:rPr>
        <w:t>Crucial attributes such as Plot Survey Numbers, Total Built-up Area (sq. m.), Approved Intake, and Society/Trust Registration details are scattered across multiple uploaded PDFs and legacy AICTE databases. Detecting subtle contradictions across a 50-page Land Deed and an Architect Floor Plan is nearly impossible through manual visual scanning.</w:t>
      </w:r>
    </w:p>
    <w:p>
      <w:pPr>
        <w:pStyle w:val="ListBullet"/>
        <w:spacing w:before="40" w:after="80" w:line="276" w:lineRule="auto"/>
      </w:pPr>
      <w:r>
        <w:rPr>
          <w:b/>
          <w:color w:val="0F172A"/>
        </w:rPr>
        <w:t xml:space="preserve">3. Vulnerability to Document Manipulation &amp; Forgery: </w:t>
      </w:r>
      <w:r>
        <w:rPr>
          <w:color w:val="0F172A"/>
        </w:rPr>
        <w:t>Unscrupulous applicants may digitally alter expiry dates on expired Fire Safety NOCs or Building Stability Certificates, forge authorized signatory stamps using image editors (Photoshop/Canva), or upload recycled documents from previous years.</w:t>
      </w:r>
    </w:p>
    <w:p>
      <w:pPr>
        <w:pStyle w:val="ListBullet"/>
        <w:spacing w:before="40" w:after="80" w:line="276" w:lineRule="auto"/>
      </w:pPr>
      <w:r>
        <w:rPr>
          <w:b/>
          <w:color w:val="0F172A"/>
        </w:rPr>
        <w:t xml:space="preserve">4. Fragmented Issuing-Authority Verification: </w:t>
      </w:r>
      <w:r>
        <w:rPr>
          <w:color w:val="0F172A"/>
        </w:rPr>
        <w:t>Confirming whether a submitted certificate (PAN, Trust Deed, Fire NOC, Occupancy Certificate, Digital Signature) is genuine requires manual follow-up or visiting disparate external portals, leading to verification delays and unverified approvals.</w:t>
      </w:r>
    </w:p>
    <w:p>
      <w:pPr>
        <w:pStyle w:val="ListBullet"/>
        <w:spacing w:before="40" w:after="80" w:line="276" w:lineRule="auto"/>
      </w:pPr>
      <w:r>
        <w:rPr>
          <w:b/>
          <w:color w:val="0F172A"/>
        </w:rPr>
        <w:t xml:space="preserve">5. Unverified Physical Infrastructure Claims: </w:t>
      </w:r>
      <w:r>
        <w:rPr>
          <w:color w:val="0F172A"/>
        </w:rPr>
        <w:t>Institutions submit photographs, videos, and floor plans to prove adequate computer labs, classrooms, library resources, and barrier-free facilities (ramps/lifts). Without automated Computer Vision checks, duplicate photographs (reusing the same computer lab photo for multiple departments or across different colleges) and shortfall in equipment count go unnoticed until physical EVC inspection.</w:t>
      </w:r>
    </w:p>
    <w:p>
      <w:pPr>
        <w:keepNext/>
        <w:spacing w:before="320" w:after="120"/>
        <w:pBdr>
          <w:bottom w:val="single" w:sz="12" w:space="4" w:color="0D9488"/>
        </w:pBdr>
      </w:pPr>
      <w:r>
        <w:rPr>
          <w:rFonts w:ascii="Calibri" w:hAnsi="Calibri"/>
          <w:b/>
          <w:color w:val="0D9488"/>
          <w:sz w:val="30"/>
        </w:rPr>
        <w:t xml:space="preserve">02  </w:t>
      </w:r>
      <w:r>
        <w:rPr>
          <w:rFonts w:ascii="Calibri" w:hAnsi="Calibri"/>
          <w:b/>
          <w:color w:val="0F2C59"/>
          <w:sz w:val="30"/>
        </w:rPr>
        <w:t>CORE OBJECTIVES (MAPPED TO AICTE REQUIREMENTS)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3360"/>
        <w:gridCol w:w="3360"/>
        <w:gridCol w:w="3360"/>
      </w:tblGrid>
      <w:tr>
        <w:tc>
          <w:tcPr>
            <w:tcW w:type="dxa" w:w="576"/>
            <w:vAlign w:val="center"/>
            <w:tcMar>
              <w:top w:w="90" w:type="dxa"/>
              <w:bottom w:w="90" w:type="dxa"/>
              <w:left w:w="120" w:type="dxa"/>
              <w:right w:w="120" w:type="dxa"/>
            </w:tcMar>
            <w:shd w:fill="0F2C59"/>
          </w:tcPr>
          <w:p>
            <w:pPr>
              <w:spacing w:after="0"/>
            </w:pPr>
            <w:r>
              <w:rPr>
                <w:b/>
                <w:color w:val="FFFFFF"/>
                <w:sz w:val="20"/>
              </w:rPr>
              <w:t>#</w:t>
            </w:r>
          </w:p>
        </w:tc>
        <w:tc>
          <w:tcPr>
            <w:tcW w:type="dxa" w:w="4176"/>
            <w:vAlign w:val="center"/>
            <w:tcMar>
              <w:top w:w="90" w:type="dxa"/>
              <w:bottom w:w="90" w:type="dxa"/>
              <w:left w:w="120" w:type="dxa"/>
              <w:right w:w="120" w:type="dxa"/>
            </w:tcMar>
            <w:shd w:fill="0F2C59"/>
          </w:tcPr>
          <w:p>
            <w:pPr>
              <w:spacing w:after="0"/>
            </w:pPr>
            <w:r>
              <w:rPr>
                <w:b/>
                <w:color w:val="FFFFFF"/>
                <w:sz w:val="20"/>
              </w:rPr>
              <w:t>Official AICTE Objective (ID26261)</w:t>
            </w:r>
          </w:p>
        </w:tc>
        <w:tc>
          <w:tcPr>
            <w:tcW w:type="dxa" w:w="5328"/>
            <w:vAlign w:val="center"/>
            <w:tcMar>
              <w:top w:w="90" w:type="dxa"/>
              <w:bottom w:w="90" w:type="dxa"/>
              <w:left w:w="120" w:type="dxa"/>
              <w:right w:w="120" w:type="dxa"/>
            </w:tcMar>
            <w:shd w:fill="0F2C59"/>
          </w:tcPr>
          <w:p>
            <w:pPr>
              <w:spacing w:after="0"/>
            </w:pPr>
            <w:r>
              <w:rPr>
                <w:b/>
                <w:color w:val="FFFFFF"/>
                <w:sz w:val="20"/>
              </w:rPr>
              <w:t>How Our Solution (PRAMAAN-AICTE) Achieves It</w:t>
            </w:r>
          </w:p>
        </w:tc>
      </w:tr>
      <w:tr>
        <w:tc>
          <w:tcPr>
            <w:tcW w:type="dxa" w:w="576"/>
            <w:vAlign w:val="center"/>
            <w:tcMar>
              <w:top w:w="90" w:type="dxa"/>
              <w:bottom w:w="90" w:type="dxa"/>
              <w:left w:w="120" w:type="dxa"/>
              <w:right w:w="120" w:type="dxa"/>
            </w:tcMar>
          </w:tcPr>
          <w:p>
            <w:pPr>
              <w:spacing w:after="0"/>
            </w:pPr>
            <w:r>
              <w:rPr>
                <w:sz w:val="19"/>
              </w:rPr>
              <w:t>O1</w:t>
            </w:r>
          </w:p>
        </w:tc>
        <w:tc>
          <w:tcPr>
            <w:tcW w:type="dxa" w:w="4176"/>
            <w:vAlign w:val="center"/>
            <w:tcMar>
              <w:top w:w="90" w:type="dxa"/>
              <w:bottom w:w="90" w:type="dxa"/>
              <w:left w:w="120" w:type="dxa"/>
              <w:right w:w="120" w:type="dxa"/>
            </w:tcMar>
          </w:tcPr>
          <w:p>
            <w:pPr>
              <w:spacing w:after="0"/>
            </w:pPr>
            <w:r>
              <w:rPr>
                <w:sz w:val="19"/>
              </w:rPr>
              <w:t>Identify missing, incomplete, expired or inconsistent information and documents at the application stage.</w:t>
            </w:r>
          </w:p>
        </w:tc>
        <w:tc>
          <w:tcPr>
            <w:tcW w:type="dxa" w:w="5328"/>
            <w:vAlign w:val="center"/>
            <w:tcMar>
              <w:top w:w="90" w:type="dxa"/>
              <w:bottom w:w="90" w:type="dxa"/>
              <w:left w:w="120" w:type="dxa"/>
              <w:right w:w="120" w:type="dxa"/>
            </w:tcMar>
          </w:tcPr>
          <w:p>
            <w:pPr>
              <w:spacing w:after="0"/>
            </w:pPr>
            <w:r>
              <w:rPr>
                <w:sz w:val="19"/>
              </w:rPr>
              <w:t>Dynamic APH Category Checklist Engine + OCR Entity Extractor validates completeness, checks expiry dates against the target academic session, and flags missing fields prior to final submission.</w:t>
            </w:r>
          </w:p>
        </w:tc>
      </w:tr>
      <w:tr>
        <w:tc>
          <w:tcPr>
            <w:tcW w:type="dxa" w:w="576"/>
            <w:vAlign w:val="center"/>
            <w:tcMar>
              <w:top w:w="90" w:type="dxa"/>
              <w:bottom w:w="90" w:type="dxa"/>
              <w:left w:w="120" w:type="dxa"/>
              <w:right w:w="120" w:type="dxa"/>
            </w:tcMar>
            <w:shd w:fill="F1F5F9"/>
          </w:tcPr>
          <w:p>
            <w:pPr>
              <w:spacing w:after="0"/>
            </w:pPr>
            <w:r>
              <w:rPr>
                <w:sz w:val="19"/>
              </w:rPr>
              <w:t>O2</w:t>
            </w:r>
          </w:p>
        </w:tc>
        <w:tc>
          <w:tcPr>
            <w:tcW w:type="dxa" w:w="4176"/>
            <w:vAlign w:val="center"/>
            <w:tcMar>
              <w:top w:w="90" w:type="dxa"/>
              <w:bottom w:w="90" w:type="dxa"/>
              <w:left w:w="120" w:type="dxa"/>
              <w:right w:w="120" w:type="dxa"/>
            </w:tcMar>
            <w:shd w:fill="F1F5F9"/>
          </w:tcPr>
          <w:p>
            <w:pPr>
              <w:spacing w:after="0"/>
            </w:pPr>
            <w:r>
              <w:rPr>
                <w:sz w:val="19"/>
              </w:rPr>
              <w:t>Reduce repeated manual checking by using relevant institutional records already available in authorized AICTE systems.</w:t>
            </w:r>
          </w:p>
        </w:tc>
        <w:tc>
          <w:tcPr>
            <w:tcW w:type="dxa" w:w="5328"/>
            <w:vAlign w:val="center"/>
            <w:tcMar>
              <w:top w:w="90" w:type="dxa"/>
              <w:bottom w:w="90" w:type="dxa"/>
              <w:left w:w="120" w:type="dxa"/>
              <w:right w:w="120" w:type="dxa"/>
            </w:tcMar>
            <w:shd w:fill="F1F5F9"/>
          </w:tcPr>
          <w:p>
            <w:pPr>
              <w:spacing w:after="0"/>
            </w:pPr>
            <w:r>
              <w:rPr>
                <w:sz w:val="19"/>
              </w:rPr>
              <w:t>Automated database connector fetches historical EoA status, approved intake, faculty records, TER payment status, and past deficiencies to auto-reconcile unchanged records.</w:t>
            </w:r>
          </w:p>
        </w:tc>
      </w:tr>
      <w:tr>
        <w:tc>
          <w:tcPr>
            <w:tcW w:type="dxa" w:w="576"/>
            <w:vAlign w:val="center"/>
            <w:tcMar>
              <w:top w:w="90" w:type="dxa"/>
              <w:bottom w:w="90" w:type="dxa"/>
              <w:left w:w="120" w:type="dxa"/>
              <w:right w:w="120" w:type="dxa"/>
            </w:tcMar>
          </w:tcPr>
          <w:p>
            <w:pPr>
              <w:spacing w:after="0"/>
            </w:pPr>
            <w:r>
              <w:rPr>
                <w:sz w:val="19"/>
              </w:rPr>
              <w:t>O3</w:t>
            </w:r>
          </w:p>
        </w:tc>
        <w:tc>
          <w:tcPr>
            <w:tcW w:type="dxa" w:w="4176"/>
            <w:vAlign w:val="center"/>
            <w:tcMar>
              <w:top w:w="90" w:type="dxa"/>
              <w:bottom w:w="90" w:type="dxa"/>
              <w:left w:w="120" w:type="dxa"/>
              <w:right w:w="120" w:type="dxa"/>
            </w:tcMar>
          </w:tcPr>
          <w:p>
            <w:pPr>
              <w:spacing w:after="0"/>
            </w:pPr>
            <w:r>
              <w:rPr>
                <w:sz w:val="19"/>
              </w:rPr>
              <w:t>Detect potential document alterations, duplication and anomalies for further verification.</w:t>
            </w:r>
          </w:p>
        </w:tc>
        <w:tc>
          <w:tcPr>
            <w:tcW w:type="dxa" w:w="5328"/>
            <w:vAlign w:val="center"/>
            <w:tcMar>
              <w:top w:w="90" w:type="dxa"/>
              <w:bottom w:w="90" w:type="dxa"/>
              <w:left w:w="120" w:type="dxa"/>
              <w:right w:w="120" w:type="dxa"/>
            </w:tcMar>
          </w:tcPr>
          <w:p>
            <w:pPr>
              <w:spacing w:after="0"/>
            </w:pPr>
            <w:r>
              <w:rPr>
                <w:sz w:val="19"/>
              </w:rPr>
              <w:t>Multi-layer Forensics Engine executes Error Level Analysis (ELA) pixel heatmaps, PDF metadata/font tree inspection, perceptual hashing (pHash), and CLIP vector similarity to catch tampered or recycled files.</w:t>
            </w:r>
          </w:p>
        </w:tc>
      </w:tr>
      <w:tr>
        <w:tc>
          <w:tcPr>
            <w:tcW w:type="dxa" w:w="576"/>
            <w:vAlign w:val="center"/>
            <w:tcMar>
              <w:top w:w="90" w:type="dxa"/>
              <w:bottom w:w="90" w:type="dxa"/>
              <w:left w:w="120" w:type="dxa"/>
              <w:right w:w="120" w:type="dxa"/>
            </w:tcMar>
            <w:shd w:fill="F1F5F9"/>
          </w:tcPr>
          <w:p>
            <w:pPr>
              <w:spacing w:after="0"/>
            </w:pPr>
            <w:r>
              <w:rPr>
                <w:sz w:val="19"/>
              </w:rPr>
              <w:t>O4</w:t>
            </w:r>
          </w:p>
        </w:tc>
        <w:tc>
          <w:tcPr>
            <w:tcW w:type="dxa" w:w="4176"/>
            <w:vAlign w:val="center"/>
            <w:tcMar>
              <w:top w:w="90" w:type="dxa"/>
              <w:bottom w:w="90" w:type="dxa"/>
              <w:left w:w="120" w:type="dxa"/>
              <w:right w:w="120" w:type="dxa"/>
            </w:tcMar>
            <w:shd w:fill="F1F5F9"/>
          </w:tcPr>
          <w:p>
            <w:pPr>
              <w:spacing w:after="0"/>
            </w:pPr>
            <w:r>
              <w:rPr>
                <w:sz w:val="19"/>
              </w:rPr>
              <w:t>Verify documents directly through issuing-authority portals, APIs, digital repositories, QR codes, digital signatures or other official mechanisms.</w:t>
            </w:r>
          </w:p>
        </w:tc>
        <w:tc>
          <w:tcPr>
            <w:tcW w:type="dxa" w:w="5328"/>
            <w:vAlign w:val="center"/>
            <w:tcMar>
              <w:top w:w="90" w:type="dxa"/>
              <w:bottom w:w="90" w:type="dxa"/>
              <w:left w:w="120" w:type="dxa"/>
              <w:right w:w="120" w:type="dxa"/>
            </w:tcMar>
            <w:shd w:fill="F1F5F9"/>
          </w:tcPr>
          <w:p>
            <w:pPr>
              <w:spacing w:after="0"/>
            </w:pPr>
            <w:r>
              <w:rPr>
                <w:sz w:val="19"/>
              </w:rPr>
              <w:t>Unified Verification Gateway validates X.509 cryptographic digital signatures (pyHanko), decodes embedded QR codes/URNs, and queries authorized APIs (API Setu / DigiLocker / State Portals).</w:t>
            </w:r>
          </w:p>
        </w:tc>
      </w:tr>
      <w:tr>
        <w:tc>
          <w:tcPr>
            <w:tcW w:type="dxa" w:w="576"/>
            <w:vAlign w:val="center"/>
            <w:tcMar>
              <w:top w:w="90" w:type="dxa"/>
              <w:bottom w:w="90" w:type="dxa"/>
              <w:left w:w="120" w:type="dxa"/>
              <w:right w:w="120" w:type="dxa"/>
            </w:tcMar>
          </w:tcPr>
          <w:p>
            <w:pPr>
              <w:spacing w:after="0"/>
            </w:pPr>
            <w:r>
              <w:rPr>
                <w:sz w:val="19"/>
              </w:rPr>
              <w:t>O5</w:t>
            </w:r>
          </w:p>
        </w:tc>
        <w:tc>
          <w:tcPr>
            <w:tcW w:type="dxa" w:w="4176"/>
            <w:vAlign w:val="center"/>
            <w:tcMar>
              <w:top w:w="90" w:type="dxa"/>
              <w:bottom w:w="90" w:type="dxa"/>
              <w:left w:w="120" w:type="dxa"/>
              <w:right w:w="120" w:type="dxa"/>
            </w:tcMar>
          </w:tcPr>
          <w:p>
            <w:pPr>
              <w:spacing w:after="0"/>
            </w:pPr>
            <w:r>
              <w:rPr>
                <w:sz w:val="19"/>
              </w:rPr>
              <w:t>Assist in checking submitted infrastructure-related evidence against configurable requirements and flag cases needing inspection.</w:t>
            </w:r>
          </w:p>
        </w:tc>
        <w:tc>
          <w:tcPr>
            <w:tcW w:type="dxa" w:w="5328"/>
            <w:vAlign w:val="center"/>
            <w:tcMar>
              <w:top w:w="90" w:type="dxa"/>
              <w:bottom w:w="90" w:type="dxa"/>
              <w:left w:w="120" w:type="dxa"/>
              <w:right w:w="120" w:type="dxa"/>
            </w:tcMar>
          </w:tcPr>
          <w:p>
            <w:pPr>
              <w:spacing w:after="0"/>
            </w:pPr>
            <w:r>
              <w:rPr>
                <w:sz w:val="19"/>
              </w:rPr>
              <w:t>Computer Vision Auditor (YOLOv8 + CLIP + EXIF Geofencing) counts lab PCs/classroom seating, verifies barrier-free ramps, checks GPS coordinates, and flags discrepancies for EVC physical inspection.</w:t>
            </w:r>
          </w:p>
        </w:tc>
      </w:tr>
      <w:tr>
        <w:tc>
          <w:tcPr>
            <w:tcW w:type="dxa" w:w="576"/>
            <w:vAlign w:val="center"/>
            <w:tcMar>
              <w:top w:w="90" w:type="dxa"/>
              <w:bottom w:w="90" w:type="dxa"/>
              <w:left w:w="120" w:type="dxa"/>
              <w:right w:w="120" w:type="dxa"/>
            </w:tcMar>
            <w:shd w:fill="F1F5F9"/>
          </w:tcPr>
          <w:p>
            <w:pPr>
              <w:spacing w:after="0"/>
            </w:pPr>
            <w:r>
              <w:rPr>
                <w:sz w:val="19"/>
              </w:rPr>
              <w:t>O6</w:t>
            </w:r>
          </w:p>
        </w:tc>
        <w:tc>
          <w:tcPr>
            <w:tcW w:type="dxa" w:w="4176"/>
            <w:vAlign w:val="center"/>
            <w:tcMar>
              <w:top w:w="90" w:type="dxa"/>
              <w:bottom w:w="90" w:type="dxa"/>
              <w:left w:w="120" w:type="dxa"/>
              <w:right w:w="120" w:type="dxa"/>
            </w:tcMar>
            <w:shd w:fill="F1F5F9"/>
          </w:tcPr>
          <w:p>
            <w:pPr>
              <w:spacing w:after="0"/>
            </w:pPr>
            <w:r>
              <w:rPr>
                <w:sz w:val="19"/>
              </w:rPr>
              <w:t>Provide transparent, traceable and explainable validation results to support timely and consistent regulatory processing.</w:t>
            </w:r>
          </w:p>
        </w:tc>
        <w:tc>
          <w:tcPr>
            <w:tcW w:type="dxa" w:w="5328"/>
            <w:vAlign w:val="center"/>
            <w:tcMar>
              <w:top w:w="90" w:type="dxa"/>
              <w:bottom w:w="90" w:type="dxa"/>
              <w:left w:w="120" w:type="dxa"/>
              <w:right w:w="120" w:type="dxa"/>
            </w:tcMar>
            <w:shd w:fill="F1F5F9"/>
          </w:tcPr>
          <w:p>
            <w:pPr>
              <w:spacing w:after="0"/>
            </w:pPr>
            <w:r>
              <w:rPr>
                <w:sz w:val="19"/>
              </w:rPr>
              <w:t>Split-screen Explainable Workbench links every AI alert to exact PDF bounding boxes, ELA heatmaps, and specific APH clauses, backed by a SHA-256 hash-chained immutable audit trail.</w:t>
            </w:r>
          </w:p>
        </w:tc>
      </w:tr>
    </w:tbl>
    <w:p>
      <w:pPr>
        <w:keepNext/>
        <w:spacing w:before="320" w:after="120"/>
        <w:pBdr>
          <w:bottom w:val="single" w:sz="12" w:space="4" w:color="0D9488"/>
        </w:pBdr>
      </w:pPr>
      <w:r>
        <w:rPr>
          <w:rFonts w:ascii="Calibri" w:hAnsi="Calibri"/>
          <w:b/>
          <w:color w:val="0D9488"/>
          <w:sz w:val="30"/>
        </w:rPr>
        <w:t xml:space="preserve">03  </w:t>
      </w:r>
      <w:r>
        <w:rPr>
          <w:rFonts w:ascii="Calibri" w:hAnsi="Calibri"/>
          <w:b/>
          <w:color w:val="0F2C59"/>
          <w:sz w:val="30"/>
        </w:rPr>
        <w:t>PROPOSED SOLUTION: 'PRAMAAN-AICTE' PLATFORM</w:t>
      </w:r>
    </w:p>
    <w:p>
      <w:r>
        <w:t>We propose PRAMAAN-AICTE (Platform for Regulatory Authentication, Multimodal Application Analysis &amp; Norms-verification)—a secure, modular, AI-enabled decision-support platform designed for seamless integration with the AICTE portal. It operates as a 5-Pillar Validation &amp; Scrutiny Engine:</w:t>
      </w:r>
    </w:p>
    <w:p>
      <w:pPr>
        <w:keepNext/>
        <w:spacing w:before="200" w:after="80"/>
      </w:pPr>
      <w:r>
        <w:rPr>
          <w:rFonts w:ascii="Calibri" w:hAnsi="Calibri"/>
          <w:b/>
          <w:color w:val="0F2C59"/>
          <w:sz w:val="24"/>
        </w:rPr>
        <w:t>Pillar 1: Intelligent Application &amp; Cross-Document Validation Engine</w:t>
      </w:r>
    </w:p>
    <w:p>
      <w:pPr>
        <w:pStyle w:val="ListBullet"/>
        <w:spacing w:before="40" w:after="80" w:line="276" w:lineRule="auto"/>
      </w:pPr>
      <w:r>
        <w:rPr>
          <w:b/>
          <w:color w:val="0F172A"/>
        </w:rPr>
        <w:t xml:space="preserve">Category-Driven Dynamic Checklists: </w:t>
      </w:r>
      <w:r>
        <w:rPr>
          <w:color w:val="0F172A"/>
        </w:rPr>
        <w:t>Upon selecting the application category (e.g., Extension of Approval, New Institution, Increase in Intake, ToC, Closure), the system loads the exact mandatory checklist from a configurable JSON/YAML APH Rule Engine.</w:t>
      </w:r>
    </w:p>
    <w:p>
      <w:pPr>
        <w:pStyle w:val="ListBullet"/>
        <w:spacing w:before="40" w:after="80" w:line="276" w:lineRule="auto"/>
      </w:pPr>
      <w:r>
        <w:rPr>
          <w:b/>
          <w:color w:val="0F172A"/>
        </w:rPr>
        <w:t xml:space="preserve">Multimodal OCR &amp; Structured Extraction: </w:t>
      </w:r>
      <w:r>
        <w:rPr>
          <w:color w:val="0F172A"/>
        </w:rPr>
        <w:t>Uses Surya OCR / PaddleOCR paired with schema-constrained LLM extraction (Pydantic v2) to extract structured entities (Survey Numbers, Built-up Area, Expiry Dates, Issuing Authority, Trust Name, Intake Numbers) from noisy, multi-column scanned PDFs and bilingual government certificates.</w:t>
      </w:r>
    </w:p>
    <w:p>
      <w:pPr>
        <w:pStyle w:val="ListBullet"/>
        <w:spacing w:before="40" w:after="80" w:line="276" w:lineRule="auto"/>
      </w:pPr>
      <w:r>
        <w:rPr>
          <w:b/>
          <w:color w:val="0F172A"/>
        </w:rPr>
        <w:t xml:space="preserve">Cross-Document Entity Graph Reconciliation: </w:t>
      </w:r>
      <w:r>
        <w:rPr>
          <w:color w:val="0F172A"/>
        </w:rPr>
        <w:t>Constructs an application-level Entity Graph that cross-verifies extracted values across multiple documents and historical AICTE records (e.g., matching Plot Survey No. and Area across the Land Registration Deed, Municipal Approved Building Plan, Fire Safety NOC, and Form Part-1).</w:t>
      </w:r>
    </w:p>
    <w:p>
      <w:pPr>
        <w:pStyle w:val="ListBullet"/>
        <w:spacing w:before="40" w:after="80" w:line="276" w:lineRule="auto"/>
      </w:pPr>
      <w:r>
        <w:rPr>
          <w:b/>
          <w:color w:val="0F172A"/>
        </w:rPr>
        <w:t xml:space="preserve">Pre-Submission Deficiency Rectification: </w:t>
      </w:r>
      <w:r>
        <w:rPr>
          <w:color w:val="0F172A"/>
        </w:rPr>
        <w:t>Generates an instant, structured Preliminary Validation Report allowing the institution to rectify missing fields or expired uploads before entering the official AICTE scrutiny queue.</w:t>
      </w:r>
    </w:p>
    <w:p>
      <w:pPr>
        <w:keepNext/>
        <w:spacing w:before="200" w:after="80"/>
      </w:pPr>
      <w:r>
        <w:rPr>
          <w:rFonts w:ascii="Calibri" w:hAnsi="Calibri"/>
          <w:b/>
          <w:color w:val="0F2C59"/>
          <w:sz w:val="24"/>
        </w:rPr>
        <w:t>Pillar 2: Document Forensics &amp; Potential Forgery Detection Engine</w:t>
      </w:r>
    </w:p>
    <w:p>
      <w:pPr>
        <w:pStyle w:val="ListBullet"/>
        <w:spacing w:before="40" w:after="80" w:line="276" w:lineRule="auto"/>
      </w:pPr>
      <w:r>
        <w:rPr>
          <w:b/>
          <w:color w:val="0F172A"/>
        </w:rPr>
        <w:t xml:space="preserve">Error Level Analysis (ELA) &amp; Pixel Forensics: </w:t>
      </w:r>
      <w:r>
        <w:rPr>
          <w:color w:val="0F172A"/>
        </w:rPr>
        <w:t>Analyses JPEG/image compression residuals using OpenCV and SciPy to detect localized pixel manipulation around expiry dates, numerical figures, and official stamps, generating an interactive visual heatmap overlay.</w:t>
      </w:r>
    </w:p>
    <w:p>
      <w:pPr>
        <w:pStyle w:val="ListBullet"/>
        <w:spacing w:before="40" w:after="80" w:line="276" w:lineRule="auto"/>
      </w:pPr>
      <w:r>
        <w:rPr>
          <w:b/>
          <w:color w:val="0F172A"/>
        </w:rPr>
        <w:t xml:space="preserve">PDF Structural Metadata &amp; Font Tree Inspection: </w:t>
      </w:r>
      <w:r>
        <w:rPr>
          <w:color w:val="0F172A"/>
        </w:rPr>
        <w:t>Inspects internal PDF dictionaries (/Producer, /Creator, /ModDate, XRef tables, and embedded font subsets) via PyMuPDF to detect files modified in consumer editing tools (Photoshop, Canva, online PDF editors) or mismatched font encodings on altered lines.</w:t>
      </w:r>
    </w:p>
    <w:p>
      <w:pPr>
        <w:pStyle w:val="ListBullet"/>
        <w:spacing w:before="40" w:after="80" w:line="276" w:lineRule="auto"/>
      </w:pPr>
      <w:r>
        <w:rPr>
          <w:b/>
          <w:color w:val="0F172A"/>
        </w:rPr>
        <w:t xml:space="preserve">Perceptual Hashing (pHash) &amp; Cross-Application De-duplication: </w:t>
      </w:r>
      <w:r>
        <w:rPr>
          <w:color w:val="0F172A"/>
        </w:rPr>
        <w:t>Computes cryptographic (SHA-256) and perceptual hashes (pHash) alongside vector embeddings to detect if an affidavit, NOC, or certificate has been duplicated within the same application or copied from another institution's submission.</w:t>
      </w:r>
    </w:p>
    <w:p>
      <w:pPr>
        <w:pStyle w:val="ListBullet"/>
        <w:spacing w:before="40" w:after="80" w:line="276" w:lineRule="auto"/>
      </w:pPr>
      <w:r>
        <w:rPr>
          <w:b/>
          <w:color w:val="0F172A"/>
        </w:rPr>
        <w:t xml:space="preserve">Advisory Safeguard: </w:t>
      </w:r>
      <w:r>
        <w:rPr>
          <w:color w:val="0F172A"/>
        </w:rPr>
        <w:t>Every forensic alert is strictly labelled as a 'Preliminary Indicator Requiring Human Verification' with its underlying evidence attached.</w:t>
      </w:r>
    </w:p>
    <w:p>
      <w:pPr>
        <w:keepNext/>
        <w:spacing w:before="200" w:after="80"/>
      </w:pPr>
      <w:r>
        <w:rPr>
          <w:rFonts w:ascii="Calibri" w:hAnsi="Calibri"/>
          <w:b/>
          <w:color w:val="0F2C59"/>
          <w:sz w:val="24"/>
        </w:rPr>
        <w:t>Pillar 3: Issuing-Authority Verification Gateway</w:t>
      </w:r>
    </w:p>
    <w:p>
      <w:pPr>
        <w:pStyle w:val="ListBullet"/>
        <w:spacing w:before="40" w:after="80" w:line="276" w:lineRule="auto"/>
      </w:pPr>
      <w:r>
        <w:rPr>
          <w:b/>
          <w:color w:val="0F172A"/>
        </w:rPr>
        <w:t xml:space="preserve">Multi-Channel Source Authentication: </w:t>
      </w:r>
      <w:r>
        <w:rPr>
          <w:color w:val="0F172A"/>
        </w:rPr>
        <w:t>Verifies documents via four automated mechanisms: (1) X.509 PKI Digital Signature (DSC) cryptographic validation using pyHanko, (2) High-density QR Code &amp; Barcode payload decoding, (3) Unique Reference Number (URN) lookup via API Setu / DigiLocker / NSDL / NAAC / NBA / State Fire &amp; Municipal Mock Sandboxes, and (4) TER Payment &amp; FDR status verification.</w:t>
      </w:r>
    </w:p>
    <w:p>
      <w:pPr>
        <w:pStyle w:val="ListBullet"/>
        <w:spacing w:before="40" w:after="80" w:line="276" w:lineRule="auto"/>
      </w:pPr>
      <w:r>
        <w:rPr>
          <w:b/>
          <w:color w:val="0F172A"/>
        </w:rPr>
        <w:t xml:space="preserve">Six-State Deterministic Status Classification: </w:t>
      </w:r>
      <w:r>
        <w:rPr>
          <w:color w:val="0F172A"/>
        </w:rPr>
        <w:t>Stamps each document with source name, query timestamp, response hash, and one of the six mandated AICTE statuses: VERIFIED, MISMATCH_DETECTED, EXPIRED, VERIFICATION_PENDING, SOURCE_UNAVAILABLE, or MANUAL_REVIEW_REQUIRED.</w:t>
      </w:r>
    </w:p>
    <w:p>
      <w:pPr>
        <w:keepNext/>
        <w:spacing w:before="200" w:after="80"/>
      </w:pPr>
      <w:r>
        <w:rPr>
          <w:rFonts w:ascii="Calibri" w:hAnsi="Calibri"/>
          <w:b/>
          <w:color w:val="0F2C59"/>
          <w:sz w:val="24"/>
        </w:rPr>
        <w:t>Pillar 4: Regulatory &amp; Infrastructure Computer Vision (CV) Auditor</w:t>
      </w:r>
    </w:p>
    <w:p>
      <w:pPr>
        <w:pStyle w:val="ListBullet"/>
        <w:spacing w:before="40" w:after="80" w:line="276" w:lineRule="auto"/>
      </w:pPr>
      <w:r>
        <w:rPr>
          <w:b/>
          <w:color w:val="0F172A"/>
        </w:rPr>
        <w:t xml:space="preserve">Automated Equipment &amp; Capacity Verification: </w:t>
      </w:r>
      <w:r>
        <w:rPr>
          <w:color w:val="0F172A"/>
        </w:rPr>
        <w:t>Applies fine-tuned YOLOv8 object detection on submitted computer lab, workshop, and classroom photographs to count computer terminals, desks, and fire extinguishers, comparing them against APH norms for the requested student intake.</w:t>
      </w:r>
    </w:p>
    <w:p>
      <w:pPr>
        <w:pStyle w:val="ListBullet"/>
        <w:spacing w:before="40" w:after="80" w:line="276" w:lineRule="auto"/>
      </w:pPr>
      <w:r>
        <w:rPr>
          <w:b/>
          <w:color w:val="0F172A"/>
        </w:rPr>
        <w:t xml:space="preserve">Barrier-Free &amp; Facility Verification: </w:t>
      </w:r>
      <w:r>
        <w:rPr>
          <w:color w:val="0F172A"/>
        </w:rPr>
        <w:t>Detects physical accessibility compliance indicators (ramps, tactile pathways, lifts, washrooms) and library infrastructure.</w:t>
      </w:r>
    </w:p>
    <w:p>
      <w:pPr>
        <w:pStyle w:val="ListBullet"/>
        <w:spacing w:before="40" w:after="80" w:line="276" w:lineRule="auto"/>
      </w:pPr>
      <w:r>
        <w:rPr>
          <w:b/>
          <w:color w:val="0F172A"/>
        </w:rPr>
        <w:t xml:space="preserve">CLIP Visual De-duplication &amp; EXIF Geo-Fencing: </w:t>
      </w:r>
      <w:r>
        <w:rPr>
          <w:color w:val="0F172A"/>
        </w:rPr>
        <w:t>Generates OpenAI CLIP visual embeddings stored in pgvector to immediately flag if two labs (or two different colleges) submit photos of the exact same room from different angles. Simultaneously validates EXIF GPS coordinates and capture timestamps against the institution's registered campus polygon via the Companion Mobile PWA.</w:t>
      </w:r>
    </w:p>
    <w:p>
      <w:pPr>
        <w:pStyle w:val="ListBullet"/>
        <w:spacing w:before="40" w:after="80" w:line="276" w:lineRule="auto"/>
      </w:pPr>
      <w:r>
        <w:rPr>
          <w:b/>
          <w:color w:val="0F172A"/>
        </w:rPr>
        <w:t xml:space="preserve">Floor Plan OCR &amp; Area Cross-Check: </w:t>
      </w:r>
      <w:r>
        <w:rPr>
          <w:color w:val="0F172A"/>
        </w:rPr>
        <w:t>Extracts room dimensions and carpet area tables from uploaded Architect Floor Plans and compares them against AICTE APH norms (e.g., 66 sq.m per classroom, 66 sq.m per lab).</w:t>
      </w:r>
    </w:p>
    <w:p>
      <w:pPr>
        <w:keepNext/>
        <w:spacing w:before="200" w:after="80"/>
      </w:pPr>
      <w:r>
        <w:rPr>
          <w:rFonts w:ascii="Calibri" w:hAnsi="Calibri"/>
          <w:b/>
          <w:color w:val="0F2C59"/>
          <w:sz w:val="24"/>
        </w:rPr>
        <w:t>Pillar 5: Centralized Validation Dashboard, Alerts &amp; Immutable Audit Trail</w:t>
      </w:r>
    </w:p>
    <w:p>
      <w:pPr>
        <w:pStyle w:val="ListBullet"/>
        <w:spacing w:before="40" w:after="80" w:line="276" w:lineRule="auto"/>
      </w:pPr>
      <w:r>
        <w:rPr>
          <w:b/>
          <w:color w:val="0F172A"/>
        </w:rPr>
        <w:t xml:space="preserve">Split-Screen Official Scrutiny Workbench: </w:t>
      </w:r>
      <w:r>
        <w:rPr>
          <w:color w:val="0F172A"/>
        </w:rPr>
        <w:t>Provides Regional Officers, Scrutiny/Re-Scrutiny Committees, and EVC members with a side-by-side interface: interactive document viewer with OCR bounding boxes and ELA heatmaps on the left, and APH clause checklists, source-verification badges, and override controls on the right.</w:t>
      </w:r>
    </w:p>
    <w:p>
      <w:pPr>
        <w:pStyle w:val="ListBullet"/>
        <w:spacing w:before="40" w:after="80" w:line="276" w:lineRule="auto"/>
      </w:pPr>
      <w:r>
        <w:rPr>
          <w:b/>
          <w:color w:val="0F172A"/>
        </w:rPr>
        <w:t xml:space="preserve">WORM Storage &amp; Hash-Chained Audit Ledger: </w:t>
      </w:r>
      <w:r>
        <w:rPr>
          <w:color w:val="0F172A"/>
        </w:rPr>
        <w:t>Stores all uploaded evidence in MinIO with Object Locking (Write-Once-Read-Many) and records every rule applied, API payload, alert, and official decision in a SHA-256 hash-chained PostgreSQL audit table.</w:t>
      </w:r>
    </w:p>
    <w:p>
      <w:pPr>
        <w:keepNext/>
        <w:spacing w:before="320" w:after="120"/>
        <w:pBdr>
          <w:bottom w:val="single" w:sz="12" w:space="4" w:color="0D9488"/>
        </w:pBdr>
      </w:pPr>
      <w:r>
        <w:rPr>
          <w:rFonts w:ascii="Calibri" w:hAnsi="Calibri"/>
          <w:b/>
          <w:color w:val="0D9488"/>
          <w:sz w:val="30"/>
        </w:rPr>
        <w:t xml:space="preserve">04  </w:t>
      </w:r>
      <w:r>
        <w:rPr>
          <w:rFonts w:ascii="Calibri" w:hAnsi="Calibri"/>
          <w:b/>
          <w:color w:val="0F2C59"/>
          <w:sz w:val="30"/>
        </w:rPr>
        <w:t>INNOVATION &amp; UNIQUENESS (COMPETITIVE DIFFERENTIATORS)</w:t>
      </w:r>
    </w:p>
    <w:p>
      <w:r>
        <w:t>Unlike generic wrapper solutions that merely pass text to an LLM, PRAMAAN-AICTE introduces six deep-tech engineering innovations tailored specifically for regulatory governance:</w:t>
      </w:r>
    </w:p>
    <w:p>
      <w:pPr>
        <w:pStyle w:val="ListBullet"/>
        <w:spacing w:before="40" w:after="80" w:line="276" w:lineRule="auto"/>
      </w:pPr>
      <w:r>
        <w:rPr>
          <w:b/>
          <w:color w:val="0F172A"/>
        </w:rPr>
        <w:t xml:space="preserve">1. Cross-Document Entity Consistency Graph: </w:t>
      </w:r>
      <w:r>
        <w:rPr>
          <w:color w:val="0F172A"/>
        </w:rPr>
        <w:t>Instead of validating documents in isolation, our engine builds a unified entity graph per application—automatically reconciling Land Area, Survey Numbers, Trust Names, and Intake capacities across 10+ distinct legal and architectural documents.</w:t>
      </w:r>
    </w:p>
    <w:p>
      <w:pPr>
        <w:pStyle w:val="ListBullet"/>
        <w:spacing w:before="40" w:after="80" w:line="276" w:lineRule="auto"/>
      </w:pPr>
      <w:r>
        <w:rPr>
          <w:b/>
          <w:color w:val="0F172A"/>
        </w:rPr>
        <w:t xml:space="preserve">2. Explainable Visual Forensics (ELA + Font Subsetting): </w:t>
      </w:r>
      <w:r>
        <w:rPr>
          <w:color w:val="0F172A"/>
        </w:rPr>
        <w:t>Combines pixel-level Error Level Analysis (ELA) compression heatmaps with PDF XRef/Font-tree structural inspection to pinpoint exact tampered regions (such as an altered NOC expiry year) with visual proof rather than opaque black-box scores.</w:t>
      </w:r>
    </w:p>
    <w:p>
      <w:pPr>
        <w:pStyle w:val="ListBullet"/>
        <w:spacing w:before="40" w:after="80" w:line="276" w:lineRule="auto"/>
      </w:pPr>
      <w:r>
        <w:rPr>
          <w:b/>
          <w:color w:val="0F172A"/>
        </w:rPr>
        <w:t xml:space="preserve">3. Semantic Visual De-duplication via CLIP Embeddings: </w:t>
      </w:r>
      <w:r>
        <w:rPr>
          <w:color w:val="0F172A"/>
        </w:rPr>
        <w:t>Standard MD5/SHA hashes fail if an institution crops, rotates, or slightly re-shoots a lab photograph. By indexing every submitted infrastructure photo in pgvector using CLIP embeddings, our system catches visually identical rooms across departments, academic years, and even across different institutions nationwide.</w:t>
      </w:r>
    </w:p>
    <w:p>
      <w:pPr>
        <w:pStyle w:val="ListBullet"/>
        <w:spacing w:before="40" w:after="80" w:line="276" w:lineRule="auto"/>
      </w:pPr>
      <w:r>
        <w:rPr>
          <w:b/>
          <w:color w:val="0F172A"/>
        </w:rPr>
        <w:t xml:space="preserve">4. Live Geo-Fenced Capture Companion PWA: </w:t>
      </w:r>
      <w:r>
        <w:rPr>
          <w:color w:val="0F172A"/>
        </w:rPr>
        <w:t>Eliminates gallery-uploaded fake photos by providing a lightweight Mobile Companion PWA for Nodal Officers and EVC Inspectors that locks camera capture to live hardware GPS coordinates, compass azimuth, and network time.</w:t>
      </w:r>
    </w:p>
    <w:p>
      <w:pPr>
        <w:pStyle w:val="ListBullet"/>
        <w:spacing w:before="40" w:after="80" w:line="276" w:lineRule="auto"/>
      </w:pPr>
      <w:r>
        <w:rPr>
          <w:b/>
          <w:color w:val="0F172A"/>
        </w:rPr>
        <w:t xml:space="preserve">5. Zero-Code Configurable APH Rule Engine: </w:t>
      </w:r>
      <w:r>
        <w:rPr>
          <w:color w:val="0F172A"/>
        </w:rPr>
        <w:t>Decouples AICTE Approval Process Handbook (APH) norms from application code using a dynamic JSON/YAML rule schema + RAG policy assistant. Whenever AICTE releases a new APH addendum or revises Student-Faculty / Land ratios, administrators can update thresholds via UI without redeploying code.</w:t>
      </w:r>
    </w:p>
    <w:p>
      <w:pPr>
        <w:pStyle w:val="ListBullet"/>
        <w:spacing w:before="40" w:after="80" w:line="276" w:lineRule="auto"/>
      </w:pPr>
      <w:r>
        <w:rPr>
          <w:b/>
          <w:color w:val="0F172A"/>
        </w:rPr>
        <w:t xml:space="preserve">6. Court-Admissible Hash-Chained Audit Trail &amp; WORM Storage: </w:t>
      </w:r>
      <w:r>
        <w:rPr>
          <w:color w:val="0F172A"/>
        </w:rPr>
        <w:t>Every AI observation and human override is cryptographically chained (each log row hashes the previous row's signature) alongside MinIO WORM storage, guaranteeing 100% non-repudiation for statutory RTI or legal scrutiny.</w:t>
      </w:r>
    </w:p>
    <w:p>
      <w:pPr>
        <w:keepNext/>
        <w:spacing w:before="320" w:after="120"/>
        <w:pBdr>
          <w:bottom w:val="single" w:sz="12" w:space="4" w:color="0D9488"/>
        </w:pBdr>
      </w:pPr>
      <w:r>
        <w:rPr>
          <w:rFonts w:ascii="Calibri" w:hAnsi="Calibri"/>
          <w:b/>
          <w:color w:val="0D9488"/>
          <w:sz w:val="30"/>
        </w:rPr>
        <w:t xml:space="preserve">05  </w:t>
      </w:r>
      <w:r>
        <w:rPr>
          <w:rFonts w:ascii="Calibri" w:hAnsi="Calibri"/>
          <w:b/>
          <w:color w:val="0F2C59"/>
          <w:sz w:val="30"/>
        </w:rPr>
        <w:t>END-TO-END SYSTEM ARCHITECTURE &amp; EXECUTION WORKFLOW</w:t>
      </w:r>
    </w:p>
    <w:p>
      <w:pPr>
        <w:keepNext/>
        <w:spacing w:before="200" w:after="80"/>
      </w:pPr>
      <w:r>
        <w:rPr>
          <w:rFonts w:ascii="Calibri" w:hAnsi="Calibri"/>
          <w:b/>
          <w:color w:val="0F2C59"/>
          <w:sz w:val="24"/>
        </w:rPr>
        <w:t>5.1 Six-Stage Execution Workflow</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3360"/>
        <w:gridCol w:w="3360"/>
        <w:gridCol w:w="3360"/>
      </w:tblGrid>
      <w:tr>
        <w:tc>
          <w:tcPr>
            <w:tcW w:type="dxa" w:w="1152"/>
            <w:vAlign w:val="center"/>
            <w:tcMar>
              <w:top w:w="90" w:type="dxa"/>
              <w:bottom w:w="90" w:type="dxa"/>
              <w:left w:w="120" w:type="dxa"/>
              <w:right w:w="120" w:type="dxa"/>
            </w:tcMar>
            <w:shd w:fill="0F2C59"/>
          </w:tcPr>
          <w:p>
            <w:pPr>
              <w:spacing w:after="0"/>
            </w:pPr>
            <w:r>
              <w:rPr>
                <w:b/>
                <w:color w:val="FFFFFF"/>
                <w:sz w:val="20"/>
              </w:rPr>
              <w:t>Stage</w:t>
            </w:r>
          </w:p>
        </w:tc>
        <w:tc>
          <w:tcPr>
            <w:tcW w:type="dxa" w:w="2880"/>
            <w:vAlign w:val="center"/>
            <w:tcMar>
              <w:top w:w="90" w:type="dxa"/>
              <w:bottom w:w="90" w:type="dxa"/>
              <w:left w:w="120" w:type="dxa"/>
              <w:right w:w="120" w:type="dxa"/>
            </w:tcMar>
            <w:shd w:fill="0F2C59"/>
          </w:tcPr>
          <w:p>
            <w:pPr>
              <w:spacing w:after="0"/>
            </w:pPr>
            <w:r>
              <w:rPr>
                <w:b/>
                <w:color w:val="FFFFFF"/>
                <w:sz w:val="20"/>
              </w:rPr>
              <w:t>Workflow Phase</w:t>
            </w:r>
          </w:p>
        </w:tc>
        <w:tc>
          <w:tcPr>
            <w:tcW w:type="dxa" w:w="6048"/>
            <w:vAlign w:val="center"/>
            <w:tcMar>
              <w:top w:w="90" w:type="dxa"/>
              <w:bottom w:w="90" w:type="dxa"/>
              <w:left w:w="120" w:type="dxa"/>
              <w:right w:w="120" w:type="dxa"/>
            </w:tcMar>
            <w:shd w:fill="0F2C59"/>
          </w:tcPr>
          <w:p>
            <w:pPr>
              <w:spacing w:after="0"/>
            </w:pPr>
            <w:r>
              <w:rPr>
                <w:b/>
                <w:color w:val="FFFFFF"/>
                <w:sz w:val="20"/>
              </w:rPr>
              <w:t>Technical Operations Executed</w:t>
            </w:r>
          </w:p>
        </w:tc>
      </w:tr>
      <w:tr>
        <w:tc>
          <w:tcPr>
            <w:tcW w:type="dxa" w:w="1152"/>
            <w:vAlign w:val="center"/>
            <w:tcMar>
              <w:top w:w="90" w:type="dxa"/>
              <w:bottom w:w="90" w:type="dxa"/>
              <w:left w:w="120" w:type="dxa"/>
              <w:right w:w="120" w:type="dxa"/>
            </w:tcMar>
          </w:tcPr>
          <w:p>
            <w:pPr>
              <w:spacing w:after="0"/>
            </w:pPr>
            <w:r>
              <w:rPr>
                <w:sz w:val="19"/>
              </w:rPr>
              <w:t>Stage 1</w:t>
            </w:r>
          </w:p>
        </w:tc>
        <w:tc>
          <w:tcPr>
            <w:tcW w:type="dxa" w:w="2880"/>
            <w:vAlign w:val="center"/>
            <w:tcMar>
              <w:top w:w="90" w:type="dxa"/>
              <w:bottom w:w="90" w:type="dxa"/>
              <w:left w:w="120" w:type="dxa"/>
              <w:right w:w="120" w:type="dxa"/>
            </w:tcMar>
          </w:tcPr>
          <w:p>
            <w:pPr>
              <w:spacing w:after="0"/>
            </w:pPr>
            <w:r>
              <w:rPr>
                <w:sz w:val="19"/>
              </w:rPr>
              <w:t>Category Selection &amp; Dynamic Checklist Load</w:t>
            </w:r>
          </w:p>
        </w:tc>
        <w:tc>
          <w:tcPr>
            <w:tcW w:type="dxa" w:w="6048"/>
            <w:vAlign w:val="center"/>
            <w:tcMar>
              <w:top w:w="90" w:type="dxa"/>
              <w:bottom w:w="90" w:type="dxa"/>
              <w:left w:w="120" w:type="dxa"/>
              <w:right w:w="120" w:type="dxa"/>
            </w:tcMar>
          </w:tcPr>
          <w:p>
            <w:pPr>
              <w:spacing w:after="0"/>
            </w:pPr>
            <w:r>
              <w:rPr>
                <w:sz w:val="19"/>
              </w:rPr>
              <w:t>Institution logs in via AICTE Permanent ID -&gt; Selects APH Category (EoA / New / Intake Increase) -&gt; Rule Engine fetches historical AICTE records &amp; renders mandatory document/infrastructure checklist.</w:t>
            </w:r>
          </w:p>
        </w:tc>
      </w:tr>
      <w:tr>
        <w:tc>
          <w:tcPr>
            <w:tcW w:type="dxa" w:w="1152"/>
            <w:vAlign w:val="center"/>
            <w:tcMar>
              <w:top w:w="90" w:type="dxa"/>
              <w:bottom w:w="90" w:type="dxa"/>
              <w:left w:w="120" w:type="dxa"/>
              <w:right w:w="120" w:type="dxa"/>
            </w:tcMar>
            <w:shd w:fill="F1F5F9"/>
          </w:tcPr>
          <w:p>
            <w:pPr>
              <w:spacing w:after="0"/>
            </w:pPr>
            <w:r>
              <w:rPr>
                <w:sz w:val="19"/>
              </w:rPr>
              <w:t>Stage 2</w:t>
            </w:r>
          </w:p>
        </w:tc>
        <w:tc>
          <w:tcPr>
            <w:tcW w:type="dxa" w:w="2880"/>
            <w:vAlign w:val="center"/>
            <w:tcMar>
              <w:top w:w="90" w:type="dxa"/>
              <w:bottom w:w="90" w:type="dxa"/>
              <w:left w:w="120" w:type="dxa"/>
              <w:right w:w="120" w:type="dxa"/>
            </w:tcMar>
            <w:shd w:fill="F1F5F9"/>
          </w:tcPr>
          <w:p>
            <w:pPr>
              <w:spacing w:after="0"/>
            </w:pPr>
            <w:r>
              <w:rPr>
                <w:sz w:val="19"/>
              </w:rPr>
              <w:t>WORM Ingestion &amp; Pre-Screening</w:t>
            </w:r>
          </w:p>
        </w:tc>
        <w:tc>
          <w:tcPr>
            <w:tcW w:type="dxa" w:w="6048"/>
            <w:vAlign w:val="center"/>
            <w:tcMar>
              <w:top w:w="90" w:type="dxa"/>
              <w:bottom w:w="90" w:type="dxa"/>
              <w:left w:w="120" w:type="dxa"/>
              <w:right w:w="120" w:type="dxa"/>
            </w:tcMar>
            <w:shd w:fill="F1F5F9"/>
          </w:tcPr>
          <w:p>
            <w:pPr>
              <w:spacing w:after="0"/>
            </w:pPr>
            <w:r>
              <w:rPr>
                <w:sz w:val="19"/>
              </w:rPr>
              <w:t>Documents &amp; geo-tagged media uploaded to MinIO (WORM Lock) -&gt; SHA-256 digest computed -&gt; Instant check for file corruption, minimum DPI, and mandatory file completeness.</w:t>
            </w:r>
          </w:p>
        </w:tc>
      </w:tr>
      <w:tr>
        <w:tc>
          <w:tcPr>
            <w:tcW w:type="dxa" w:w="1152"/>
            <w:vAlign w:val="center"/>
            <w:tcMar>
              <w:top w:w="90" w:type="dxa"/>
              <w:bottom w:w="90" w:type="dxa"/>
              <w:left w:w="120" w:type="dxa"/>
              <w:right w:w="120" w:type="dxa"/>
            </w:tcMar>
          </w:tcPr>
          <w:p>
            <w:pPr>
              <w:spacing w:after="0"/>
            </w:pPr>
            <w:r>
              <w:rPr>
                <w:sz w:val="19"/>
              </w:rPr>
              <w:t>Stage 3</w:t>
            </w:r>
          </w:p>
        </w:tc>
        <w:tc>
          <w:tcPr>
            <w:tcW w:type="dxa" w:w="2880"/>
            <w:vAlign w:val="center"/>
            <w:tcMar>
              <w:top w:w="90" w:type="dxa"/>
              <w:bottom w:w="90" w:type="dxa"/>
              <w:left w:w="120" w:type="dxa"/>
              <w:right w:w="120" w:type="dxa"/>
            </w:tcMar>
          </w:tcPr>
          <w:p>
            <w:pPr>
              <w:spacing w:after="0"/>
            </w:pPr>
            <w:r>
              <w:rPr>
                <w:sz w:val="19"/>
              </w:rPr>
              <w:t>Parallel AI Validation Core (3 Micro-Pipelines)</w:t>
            </w:r>
          </w:p>
        </w:tc>
        <w:tc>
          <w:tcPr>
            <w:tcW w:type="dxa" w:w="6048"/>
            <w:vAlign w:val="center"/>
            <w:tcMar>
              <w:top w:w="90" w:type="dxa"/>
              <w:bottom w:w="90" w:type="dxa"/>
              <w:left w:w="120" w:type="dxa"/>
              <w:right w:w="120" w:type="dxa"/>
            </w:tcMar>
          </w:tcPr>
          <w:p>
            <w:pPr>
              <w:spacing w:after="0"/>
            </w:pPr>
            <w:r>
              <w:rPr>
                <w:sz w:val="19"/>
              </w:rPr>
              <w:t>Celery + Redis dispatches parallel workers: (A) Surya OCR + Cross-Doc Entity Graph Matcher, (B) OpenCV ELA Forensics + PyMuPDF Metadata/DSC Inspector, (C) YOLOv8 + CLIP Infrastructure CV Auditor.</w:t>
            </w:r>
          </w:p>
        </w:tc>
      </w:tr>
      <w:tr>
        <w:tc>
          <w:tcPr>
            <w:tcW w:type="dxa" w:w="1152"/>
            <w:vAlign w:val="center"/>
            <w:tcMar>
              <w:top w:w="90" w:type="dxa"/>
              <w:bottom w:w="90" w:type="dxa"/>
              <w:left w:w="120" w:type="dxa"/>
              <w:right w:w="120" w:type="dxa"/>
            </w:tcMar>
            <w:shd w:fill="F1F5F9"/>
          </w:tcPr>
          <w:p>
            <w:pPr>
              <w:spacing w:after="0"/>
            </w:pPr>
            <w:r>
              <w:rPr>
                <w:sz w:val="19"/>
              </w:rPr>
              <w:t>Stage 4</w:t>
            </w:r>
          </w:p>
        </w:tc>
        <w:tc>
          <w:tcPr>
            <w:tcW w:type="dxa" w:w="2880"/>
            <w:vAlign w:val="center"/>
            <w:tcMar>
              <w:top w:w="90" w:type="dxa"/>
              <w:bottom w:w="90" w:type="dxa"/>
              <w:left w:w="120" w:type="dxa"/>
              <w:right w:w="120" w:type="dxa"/>
            </w:tcMar>
            <w:shd w:fill="F1F5F9"/>
          </w:tcPr>
          <w:p>
            <w:pPr>
              <w:spacing w:after="0"/>
            </w:pPr>
            <w:r>
              <w:rPr>
                <w:sz w:val="19"/>
              </w:rPr>
              <w:t>Issuing-Authority Verification Gateway</w:t>
            </w:r>
          </w:p>
        </w:tc>
        <w:tc>
          <w:tcPr>
            <w:tcW w:type="dxa" w:w="6048"/>
            <w:vAlign w:val="center"/>
            <w:tcMar>
              <w:top w:w="90" w:type="dxa"/>
              <w:bottom w:w="90" w:type="dxa"/>
              <w:left w:w="120" w:type="dxa"/>
              <w:right w:w="120" w:type="dxa"/>
            </w:tcMar>
            <w:shd w:fill="F1F5F9"/>
          </w:tcPr>
          <w:p>
            <w:pPr>
              <w:spacing w:after="0"/>
            </w:pPr>
            <w:r>
              <w:rPr>
                <w:sz w:val="19"/>
              </w:rPr>
              <w:t>QR/URN Decoder extracts identifiers -&gt; Queries authorized APIs (DigiLocker / API Setu / State Fire &amp; Municipal Sandbox) -&gt; Stamps deterministic verification badge &amp; timestamp.</w:t>
            </w:r>
          </w:p>
        </w:tc>
      </w:tr>
      <w:tr>
        <w:tc>
          <w:tcPr>
            <w:tcW w:type="dxa" w:w="1152"/>
            <w:vAlign w:val="center"/>
            <w:tcMar>
              <w:top w:w="90" w:type="dxa"/>
              <w:bottom w:w="90" w:type="dxa"/>
              <w:left w:w="120" w:type="dxa"/>
              <w:right w:w="120" w:type="dxa"/>
            </w:tcMar>
          </w:tcPr>
          <w:p>
            <w:pPr>
              <w:spacing w:after="0"/>
            </w:pPr>
            <w:r>
              <w:rPr>
                <w:sz w:val="19"/>
              </w:rPr>
              <w:t>Stage 5</w:t>
            </w:r>
          </w:p>
        </w:tc>
        <w:tc>
          <w:tcPr>
            <w:tcW w:type="dxa" w:w="2880"/>
            <w:vAlign w:val="center"/>
            <w:tcMar>
              <w:top w:w="90" w:type="dxa"/>
              <w:bottom w:w="90" w:type="dxa"/>
              <w:left w:w="120" w:type="dxa"/>
              <w:right w:w="120" w:type="dxa"/>
            </w:tcMar>
          </w:tcPr>
          <w:p>
            <w:pPr>
              <w:spacing w:after="0"/>
            </w:pPr>
            <w:r>
              <w:rPr>
                <w:sz w:val="19"/>
              </w:rPr>
              <w:t>Preliminary Deficiency Report &amp; Rectification</w:t>
            </w:r>
          </w:p>
        </w:tc>
        <w:tc>
          <w:tcPr>
            <w:tcW w:type="dxa" w:w="6048"/>
            <w:vAlign w:val="center"/>
            <w:tcMar>
              <w:top w:w="90" w:type="dxa"/>
              <w:bottom w:w="90" w:type="dxa"/>
              <w:left w:w="120" w:type="dxa"/>
              <w:right w:w="120" w:type="dxa"/>
            </w:tcMar>
          </w:tcPr>
          <w:p>
            <w:pPr>
              <w:spacing w:after="0"/>
            </w:pPr>
            <w:r>
              <w:rPr>
                <w:sz w:val="19"/>
              </w:rPr>
              <w:t>Aggregates all findings linked to exact APH clauses -&gt; Generates interactive Pre-Scrutiny Report -&gt; Institution rectifies missing/expired items within permitted window.</w:t>
            </w:r>
          </w:p>
        </w:tc>
      </w:tr>
      <w:tr>
        <w:tc>
          <w:tcPr>
            <w:tcW w:type="dxa" w:w="1152"/>
            <w:vAlign w:val="center"/>
            <w:tcMar>
              <w:top w:w="90" w:type="dxa"/>
              <w:bottom w:w="90" w:type="dxa"/>
              <w:left w:w="120" w:type="dxa"/>
              <w:right w:w="120" w:type="dxa"/>
            </w:tcMar>
            <w:shd w:fill="F1F5F9"/>
          </w:tcPr>
          <w:p>
            <w:pPr>
              <w:spacing w:after="0"/>
            </w:pPr>
            <w:r>
              <w:rPr>
                <w:sz w:val="19"/>
              </w:rPr>
              <w:t>Stage 6</w:t>
            </w:r>
          </w:p>
        </w:tc>
        <w:tc>
          <w:tcPr>
            <w:tcW w:type="dxa" w:w="2880"/>
            <w:vAlign w:val="center"/>
            <w:tcMar>
              <w:top w:w="90" w:type="dxa"/>
              <w:bottom w:w="90" w:type="dxa"/>
              <w:left w:w="120" w:type="dxa"/>
              <w:right w:w="120" w:type="dxa"/>
            </w:tcMar>
            <w:shd w:fill="F1F5F9"/>
          </w:tcPr>
          <w:p>
            <w:pPr>
              <w:spacing w:after="0"/>
            </w:pPr>
            <w:r>
              <w:rPr>
                <w:sz w:val="19"/>
              </w:rPr>
              <w:t>HITL Scrutiny Workbench &amp; Audit Logging</w:t>
            </w:r>
          </w:p>
        </w:tc>
        <w:tc>
          <w:tcPr>
            <w:tcW w:type="dxa" w:w="6048"/>
            <w:vAlign w:val="center"/>
            <w:tcMar>
              <w:top w:w="90" w:type="dxa"/>
              <w:bottom w:w="90" w:type="dxa"/>
              <w:left w:w="120" w:type="dxa"/>
              <w:right w:w="120" w:type="dxa"/>
            </w:tcMar>
            <w:shd w:fill="F1F5F9"/>
          </w:tcPr>
          <w:p>
            <w:pPr>
              <w:spacing w:after="0"/>
            </w:pPr>
            <w:r>
              <w:rPr>
                <w:sz w:val="19"/>
              </w:rPr>
              <w:t>AICTE Scrutiny / EVC Officer reviews side-by-side visual evidence -&gt; Accepts or overrides AI advisory flags with mandatory remarks -&gt; Appends entry to SHA-256 Hash-Chained Audit Ledger.</w:t>
            </w:r>
          </w:p>
        </w:tc>
      </w:tr>
    </w:tbl>
    <w:p>
      <w:pPr>
        <w:keepNext/>
        <w:spacing w:before="200" w:after="80"/>
      </w:pPr>
      <w:r>
        <w:rPr>
          <w:rFonts w:ascii="Calibri" w:hAnsi="Calibri"/>
          <w:b/>
          <w:color w:val="0F2C59"/>
          <w:sz w:val="24"/>
        </w:rPr>
        <w:t>5.2 Five-Layer System Architecture Blueprint</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10080"/>
      </w:tblGrid>
      <w:tr>
        <w:tc>
          <w:tcPr>
            <w:tcW w:type="dxa" w:w="10080"/>
            <w:shd w:fill="F8FAFC"/>
            <w:tcMar>
              <w:top w:w="120" w:type="dxa"/>
              <w:bottom w:w="120" w:type="dxa"/>
              <w:left w:w="140" w:type="dxa"/>
              <w:right w:w="140" w:type="dxa"/>
            </w:tcMar>
          </w:tcPr>
          <w:p>
            <w:pPr>
              <w:spacing w:line="240" w:lineRule="auto" w:after="0"/>
            </w:pPr>
            <w:r>
              <w:rPr>
                <w:rFonts w:ascii="Consolas" w:hAnsi="Consolas"/>
                <w:color w:val="0F2C59"/>
                <w:sz w:val="15"/>
              </w:rPr>
              <w:t>+---------------------------------------------------------------------------------------------------+</w:t>
              <w:br/>
              <w:t>| LAYER 1: PRESENTATION &amp; ROLE-BASED ACCESS INTERFACES (Next.js 15 + Tailwind CSS + Shadcn UI)      |</w:t>
              <w:br/>
              <w:t>|  [Institution Web Portal]        [AICTE Scrutiny Split-Screen Workbench]     [Mobile Capture PWA] |</w:t>
              <w:br/>
              <w:t>|  • Dynamic Checklist Uploader    • PDF Viewer w/ Bounding Boxes &amp; ELA Map    • Live Geo-Fenced    |</w:t>
              <w:br/>
              <w:t>|  • Pre-Submission Self-Check     • Cross-Doc Graph View &amp; APH Citations        Lab/Room Capture   |</w:t>
              <w:br/>
              <w:t>|  • Deficiency Rectification      • Advisory HITL Override &amp; Sign-off Gate    • EVC Field Checklist|</w:t>
              <w:br/>
              <w:t>+---------------------------------------------------------------------------------------------------+</w:t>
              <w:br/>
              <w:t xml:space="preserve">                                                 |  HTTPS / REST / WebSockets (OAuth2 + RBAC JWT)</w:t>
              <w:br/>
              <w:t xml:space="preserve">                                                 v</w:t>
              <w:br/>
              <w:t>+---------------------------------------------------------------------------------------------------+</w:t>
              <w:br/>
              <w:t>| LAYER 2: API GATEWAY, ORCHESTRATION &amp; CONFIGURABLE APH RULE ENGINE (FastAPI + Celery + Redis)     |</w:t>
              <w:br/>
              <w:t>|  • Dynamic APH Rule Evaluator (JSON/YAML AST Engine)   • Async Distributed Task Queue (Celery)    |</w:t>
              <w:br/>
              <w:t>|  • AICTE Legacy Portal Adapter (EoA, TER, Faculty DB)  • RAG APH Clause Retriever (LangChain)     |</w:t>
              <w:br/>
              <w:t>+---------------------------------------------------------------------------------------------------+</w:t>
              <w:br/>
              <w:t xml:space="preserve">                 |                               |                                |</w:t>
              <w:br/>
              <w:t xml:space="preserve">                 v                               v                                v</w:t>
              <w:br/>
              <w:t>+------------------------------+  +------------------------------+  +-------------------------------+</w:t>
              <w:br/>
              <w:t>| LAYER 3A: OCR &amp; CROSS-DOC    |  | LAYER 3B: DOCUMENT FORENSICS |  | LAYER 3C: INFRASTRUCTURE      |</w:t>
              <w:br/>
              <w:t>| CONSISTENCY ENGINE           |  | &amp; ANTI-FORGERY ENGINE        |  | COMPUTER VISION AUDITOR       |</w:t>
              <w:br/>
              <w:t>| • Surya OCR / PaddleOCR      |  | • OpenCV ELA Pixel Heatmap   |  | • YOLOv8 Lab PC / Seat /      |</w:t>
              <w:br/>
              <w:t>| • Pydantic LLM JSON Parser   |  | • Copy-Move Clone Detector   |  |   Ramp Object Counter         |</w:t>
              <w:br/>
              <w:t>| • Entity Resolution Graph    |  | • PyMuPDF Font &amp; XRef Audit  |  | • CLIP Vector Embeddings      |</w:t>
              <w:br/>
              <w:t>|   (Survey No, Area, Dates,   |  | • pyHanko X.509 DSC Crypto   |  |   (Duplicate Room Detection)  |</w:t>
              <w:br/>
              <w:t>|   Intake Cross-Verification) |  | • ImageHash (pHash) Dedupe   |  | • EXIF GPS Geofence &amp; CAD OCR |</w:t>
              <w:br/>
              <w:t>+------------------------------+  +------------------------------+  +-------------------------------+</w:t>
              <w:br/>
              <w:t xml:space="preserve">                 |                               |                                |</w:t>
              <w:br/>
              <w:t xml:space="preserve">                 +-------------------------------+--------------------------------+</w:t>
              <w:br/>
              <w:t xml:space="preserve">                                                 |</w:t>
              <w:br/>
              <w:t xml:space="preserve">                                                 v</w:t>
              <w:br/>
              <w:t>+---------------------------------------------------------------------------------------------------+</w:t>
              <w:br/>
              <w:t>| LAYER 4: ISSUING-AUTHORITY VERIFICATION ADAPTER (Circuit-Breaker API Gateway)                     |</w:t>
              <w:br/>
              <w:t>|  • pyzbar QR/Barcode Decoder   • API Setu / DigiLocker / PAN / NAAC / State Fire NOC Connectors   |</w:t>
              <w:br/>
              <w:t>|  • 6-State Status Engine: [VERIFIED | MISMATCH | EXPIRED | PENDING | UNAVAILABLE | MANUAL_REVIEW] |</w:t>
              <w:br/>
              <w:t>+---------------------------------------------------------------------------------------------------+</w:t>
              <w:br/>
              <w:t xml:space="preserve">                                                 |</w:t>
              <w:br/>
              <w:t xml:space="preserve">                                                 v</w:t>
              <w:br/>
              <w:t>+---------------------------------------------------------------------------------------------------+</w:t>
              <w:br/>
              <w:t>| LAYER 5: IMMUTABLE STORAGE, VECTOR DATASTORE &amp; CRYPTOGRAPHIC AUDIT LEDGER                         |</w:t>
              <w:br/>
              <w:t>|  • PostgreSQL 16 + pgvector (Master Records, Entity Graphs, APH Embeddings, CLIP Image Vectors)   |</w:t>
              <w:br/>
              <w:t>|  • MinIO S3 Object Storage with WORM Object Locking (Tamper-Proof Document &amp; Media Repository)    |</w:t>
              <w:br/>
              <w:t>|  • SHA-256 Hash-Chained Append-Only Audit Ledger (Rules Applied, Source Payloads, HITL Decisions) |</w:t>
              <w:br/>
              <w:t>+---------------------------------------------------------------------------------------------------+</w:t>
            </w:r>
          </w:p>
        </w:tc>
      </w:tr>
    </w:tbl>
    <w:p>
      <w:pPr>
        <w:spacing w:after="80"/>
      </w:pPr>
    </w:p>
    <w:p>
      <w:pPr>
        <w:keepNext/>
        <w:spacing w:before="320" w:after="120"/>
        <w:pBdr>
          <w:bottom w:val="single" w:sz="12" w:space="4" w:color="0D9488"/>
        </w:pBdr>
      </w:pPr>
      <w:r>
        <w:rPr>
          <w:rFonts w:ascii="Calibri" w:hAnsi="Calibri"/>
          <w:b/>
          <w:color w:val="0D9488"/>
          <w:sz w:val="30"/>
        </w:rPr>
        <w:t xml:space="preserve">06  </w:t>
      </w:r>
      <w:r>
        <w:rPr>
          <w:rFonts w:ascii="Calibri" w:hAnsi="Calibri"/>
          <w:b/>
          <w:color w:val="0F2C59"/>
          <w:sz w:val="30"/>
        </w:rPr>
        <w:t>COMPLETE TECHNOLOGY STACK &amp; JUSTIFICATION</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3360"/>
        <w:gridCol w:w="3360"/>
        <w:gridCol w:w="3360"/>
      </w:tblGrid>
      <w:tr>
        <w:tc>
          <w:tcPr>
            <w:tcW w:type="dxa" w:w="2304"/>
            <w:vAlign w:val="center"/>
            <w:tcMar>
              <w:top w:w="90" w:type="dxa"/>
              <w:bottom w:w="90" w:type="dxa"/>
              <w:left w:w="120" w:type="dxa"/>
              <w:right w:w="120" w:type="dxa"/>
            </w:tcMar>
            <w:shd w:fill="0F2C59"/>
          </w:tcPr>
          <w:p>
            <w:pPr>
              <w:spacing w:after="0"/>
            </w:pPr>
            <w:r>
              <w:rPr>
                <w:b/>
                <w:color w:val="FFFFFF"/>
                <w:sz w:val="20"/>
              </w:rPr>
              <w:t>System Layer</w:t>
            </w:r>
          </w:p>
        </w:tc>
        <w:tc>
          <w:tcPr>
            <w:tcW w:type="dxa" w:w="3312"/>
            <w:vAlign w:val="center"/>
            <w:tcMar>
              <w:top w:w="90" w:type="dxa"/>
              <w:bottom w:w="90" w:type="dxa"/>
              <w:left w:w="120" w:type="dxa"/>
              <w:right w:w="120" w:type="dxa"/>
            </w:tcMar>
            <w:shd w:fill="0F2C59"/>
          </w:tcPr>
          <w:p>
            <w:pPr>
              <w:spacing w:after="0"/>
            </w:pPr>
            <w:r>
              <w:rPr>
                <w:b/>
                <w:color w:val="FFFFFF"/>
                <w:sz w:val="20"/>
              </w:rPr>
              <w:t>Selected Technologies &amp; Libraries</w:t>
            </w:r>
          </w:p>
        </w:tc>
        <w:tc>
          <w:tcPr>
            <w:tcW w:type="dxa" w:w="4464"/>
            <w:vAlign w:val="center"/>
            <w:tcMar>
              <w:top w:w="90" w:type="dxa"/>
              <w:bottom w:w="90" w:type="dxa"/>
              <w:left w:w="120" w:type="dxa"/>
              <w:right w:w="120" w:type="dxa"/>
            </w:tcMar>
            <w:shd w:fill="0F2C59"/>
          </w:tcPr>
          <w:p>
            <w:pPr>
              <w:spacing w:after="0"/>
            </w:pPr>
            <w:r>
              <w:rPr>
                <w:b/>
                <w:color w:val="FFFFFF"/>
                <w:sz w:val="20"/>
              </w:rPr>
              <w:t>Technical Justification for ID26261</w:t>
            </w:r>
          </w:p>
        </w:tc>
      </w:tr>
      <w:tr>
        <w:tc>
          <w:tcPr>
            <w:tcW w:type="dxa" w:w="2304"/>
            <w:vAlign w:val="center"/>
            <w:tcMar>
              <w:top w:w="90" w:type="dxa"/>
              <w:bottom w:w="90" w:type="dxa"/>
              <w:left w:w="120" w:type="dxa"/>
              <w:right w:w="120" w:type="dxa"/>
            </w:tcMar>
          </w:tcPr>
          <w:p>
            <w:pPr>
              <w:spacing w:after="0"/>
            </w:pPr>
            <w:r>
              <w:rPr>
                <w:sz w:val="19"/>
              </w:rPr>
              <w:t>Frontend Web &amp; Split-Screen Workbench</w:t>
            </w:r>
          </w:p>
        </w:tc>
        <w:tc>
          <w:tcPr>
            <w:tcW w:type="dxa" w:w="3312"/>
            <w:vAlign w:val="center"/>
            <w:tcMar>
              <w:top w:w="90" w:type="dxa"/>
              <w:bottom w:w="90" w:type="dxa"/>
              <w:left w:w="120" w:type="dxa"/>
              <w:right w:w="120" w:type="dxa"/>
            </w:tcMar>
          </w:tcPr>
          <w:p>
            <w:pPr>
              <w:spacing w:after="0"/>
            </w:pPr>
            <w:r>
              <w:rPr>
                <w:sz w:val="19"/>
              </w:rPr>
              <w:t>Next.js 15 (App Router), TypeScript, Tailwind CSS, Shadcn UI, react-pdf-highlighter</w:t>
            </w:r>
          </w:p>
        </w:tc>
        <w:tc>
          <w:tcPr>
            <w:tcW w:type="dxa" w:w="4464"/>
            <w:vAlign w:val="center"/>
            <w:tcMar>
              <w:top w:w="90" w:type="dxa"/>
              <w:bottom w:w="90" w:type="dxa"/>
              <w:left w:w="120" w:type="dxa"/>
              <w:right w:w="120" w:type="dxa"/>
            </w:tcMar>
          </w:tcPr>
          <w:p>
            <w:pPr>
              <w:spacing w:after="0"/>
            </w:pPr>
            <w:r>
              <w:rPr>
                <w:sz w:val="19"/>
              </w:rPr>
              <w:t>Enables responsive split-screen document inspection with interactive OCR bounding boxes, zoomable ELA heatmaps, and real-time status badges.</w:t>
            </w:r>
          </w:p>
        </w:tc>
      </w:tr>
      <w:tr>
        <w:tc>
          <w:tcPr>
            <w:tcW w:type="dxa" w:w="2304"/>
            <w:vAlign w:val="center"/>
            <w:tcMar>
              <w:top w:w="90" w:type="dxa"/>
              <w:bottom w:w="90" w:type="dxa"/>
              <w:left w:w="120" w:type="dxa"/>
              <w:right w:w="120" w:type="dxa"/>
            </w:tcMar>
            <w:shd w:fill="F1F5F9"/>
          </w:tcPr>
          <w:p>
            <w:pPr>
              <w:spacing w:after="0"/>
            </w:pPr>
            <w:r>
              <w:rPr>
                <w:sz w:val="19"/>
              </w:rPr>
              <w:t>Companion Mobile Capture App</w:t>
            </w:r>
          </w:p>
        </w:tc>
        <w:tc>
          <w:tcPr>
            <w:tcW w:type="dxa" w:w="3312"/>
            <w:vAlign w:val="center"/>
            <w:tcMar>
              <w:top w:w="90" w:type="dxa"/>
              <w:bottom w:w="90" w:type="dxa"/>
              <w:left w:w="120" w:type="dxa"/>
              <w:right w:w="120" w:type="dxa"/>
            </w:tcMar>
            <w:shd w:fill="F1F5F9"/>
          </w:tcPr>
          <w:p>
            <w:pPr>
              <w:spacing w:after="0"/>
            </w:pPr>
            <w:r>
              <w:rPr>
                <w:sz w:val="19"/>
              </w:rPr>
              <w:t>Next.js Progressive Web App (PWA) / React Native (Expo), HTML5 MediaDevices &amp; Geolocation API</w:t>
            </w:r>
          </w:p>
        </w:tc>
        <w:tc>
          <w:tcPr>
            <w:tcW w:type="dxa" w:w="4464"/>
            <w:vAlign w:val="center"/>
            <w:tcMar>
              <w:top w:w="90" w:type="dxa"/>
              <w:bottom w:w="90" w:type="dxa"/>
              <w:left w:w="120" w:type="dxa"/>
              <w:right w:w="120" w:type="dxa"/>
            </w:tcMar>
            <w:shd w:fill="F1F5F9"/>
          </w:tcPr>
          <w:p>
            <w:pPr>
              <w:spacing w:after="0"/>
            </w:pPr>
            <w:r>
              <w:rPr>
                <w:sz w:val="19"/>
              </w:rPr>
              <w:t>Enforces live camera capture (blocking gallery uploads) with hardware GPS coordinates and timestamp locking during campus infrastructure walks.</w:t>
            </w:r>
          </w:p>
        </w:tc>
      </w:tr>
      <w:tr>
        <w:tc>
          <w:tcPr>
            <w:tcW w:type="dxa" w:w="2304"/>
            <w:vAlign w:val="center"/>
            <w:tcMar>
              <w:top w:w="90" w:type="dxa"/>
              <w:bottom w:w="90" w:type="dxa"/>
              <w:left w:w="120" w:type="dxa"/>
              <w:right w:w="120" w:type="dxa"/>
            </w:tcMar>
          </w:tcPr>
          <w:p>
            <w:pPr>
              <w:spacing w:after="0"/>
            </w:pPr>
            <w:r>
              <w:rPr>
                <w:sz w:val="19"/>
              </w:rPr>
              <w:t>Backend API &amp; Async Task Queue</w:t>
            </w:r>
          </w:p>
        </w:tc>
        <w:tc>
          <w:tcPr>
            <w:tcW w:type="dxa" w:w="3312"/>
            <w:vAlign w:val="center"/>
            <w:tcMar>
              <w:top w:w="90" w:type="dxa"/>
              <w:bottom w:w="90" w:type="dxa"/>
              <w:left w:w="120" w:type="dxa"/>
              <w:right w:w="120" w:type="dxa"/>
            </w:tcMar>
          </w:tcPr>
          <w:p>
            <w:pPr>
              <w:spacing w:after="0"/>
            </w:pPr>
            <w:r>
              <w:rPr>
                <w:sz w:val="19"/>
              </w:rPr>
              <w:t>FastAPI (Python 3.12), Pydantic v2, Celery, Redis, Uvicorn</w:t>
            </w:r>
          </w:p>
        </w:tc>
        <w:tc>
          <w:tcPr>
            <w:tcW w:type="dxa" w:w="4464"/>
            <w:vAlign w:val="center"/>
            <w:tcMar>
              <w:top w:w="90" w:type="dxa"/>
              <w:bottom w:w="90" w:type="dxa"/>
              <w:left w:w="120" w:type="dxa"/>
              <w:right w:w="120" w:type="dxa"/>
            </w:tcMar>
          </w:tcPr>
          <w:p>
            <w:pPr>
              <w:spacing w:after="0"/>
            </w:pPr>
            <w:r>
              <w:rPr>
                <w:sz w:val="19"/>
              </w:rPr>
              <w:t>High-throughput asynchronous processing; evaluates a 40-document application across OCR, Forensics, and CV pipelines concurrently in &lt;15 seconds.</w:t>
            </w:r>
          </w:p>
        </w:tc>
      </w:tr>
      <w:tr>
        <w:tc>
          <w:tcPr>
            <w:tcW w:type="dxa" w:w="2304"/>
            <w:vAlign w:val="center"/>
            <w:tcMar>
              <w:top w:w="90" w:type="dxa"/>
              <w:bottom w:w="90" w:type="dxa"/>
              <w:left w:w="120" w:type="dxa"/>
              <w:right w:w="120" w:type="dxa"/>
            </w:tcMar>
            <w:shd w:fill="F1F5F9"/>
          </w:tcPr>
          <w:p>
            <w:pPr>
              <w:spacing w:after="0"/>
            </w:pPr>
            <w:r>
              <w:rPr>
                <w:sz w:val="19"/>
              </w:rPr>
              <w:t>Configurable APH Rule Engine</w:t>
            </w:r>
          </w:p>
        </w:tc>
        <w:tc>
          <w:tcPr>
            <w:tcW w:type="dxa" w:w="3312"/>
            <w:vAlign w:val="center"/>
            <w:tcMar>
              <w:top w:w="90" w:type="dxa"/>
              <w:bottom w:w="90" w:type="dxa"/>
              <w:left w:w="120" w:type="dxa"/>
              <w:right w:w="120" w:type="dxa"/>
            </w:tcMar>
            <w:shd w:fill="F1F5F9"/>
          </w:tcPr>
          <w:p>
            <w:pPr>
              <w:spacing w:after="0"/>
            </w:pPr>
            <w:r>
              <w:rPr>
                <w:sz w:val="19"/>
              </w:rPr>
              <w:t>Custom Python AST / JSON-Rules-Engine + LangChain (APH Policy RAG)</w:t>
            </w:r>
          </w:p>
        </w:tc>
        <w:tc>
          <w:tcPr>
            <w:tcW w:type="dxa" w:w="4464"/>
            <w:vAlign w:val="center"/>
            <w:tcMar>
              <w:top w:w="90" w:type="dxa"/>
              <w:bottom w:w="90" w:type="dxa"/>
              <w:left w:w="120" w:type="dxa"/>
              <w:right w:w="120" w:type="dxa"/>
            </w:tcMar>
            <w:shd w:fill="F1F5F9"/>
          </w:tcPr>
          <w:p>
            <w:pPr>
              <w:spacing w:after="0"/>
            </w:pPr>
            <w:r>
              <w:rPr>
                <w:sz w:val="19"/>
              </w:rPr>
              <w:t>Translates AICTE Approval Process Handbook tables and clauses into hot-reloadable validation rules without hardcoding business logic.</w:t>
            </w:r>
          </w:p>
        </w:tc>
      </w:tr>
      <w:tr>
        <w:tc>
          <w:tcPr>
            <w:tcW w:type="dxa" w:w="2304"/>
            <w:vAlign w:val="center"/>
            <w:tcMar>
              <w:top w:w="90" w:type="dxa"/>
              <w:bottom w:w="90" w:type="dxa"/>
              <w:left w:w="120" w:type="dxa"/>
              <w:right w:w="120" w:type="dxa"/>
            </w:tcMar>
          </w:tcPr>
          <w:p>
            <w:pPr>
              <w:spacing w:after="0"/>
            </w:pPr>
            <w:r>
              <w:rPr>
                <w:sz w:val="19"/>
              </w:rPr>
              <w:t>Multimodal OCR &amp; Entity Extraction</w:t>
            </w:r>
          </w:p>
        </w:tc>
        <w:tc>
          <w:tcPr>
            <w:tcW w:type="dxa" w:w="3312"/>
            <w:vAlign w:val="center"/>
            <w:tcMar>
              <w:top w:w="90" w:type="dxa"/>
              <w:bottom w:w="90" w:type="dxa"/>
              <w:left w:w="120" w:type="dxa"/>
              <w:right w:w="120" w:type="dxa"/>
            </w:tcMar>
          </w:tcPr>
          <w:p>
            <w:pPr>
              <w:spacing w:after="0"/>
            </w:pPr>
            <w:r>
              <w:rPr>
                <w:sz w:val="19"/>
              </w:rPr>
              <w:t>Surya OCR, PaddleOCR, Gemini 2.5 Flash / Llama-3.3 Structured Outputs</w:t>
            </w:r>
          </w:p>
        </w:tc>
        <w:tc>
          <w:tcPr>
            <w:tcW w:type="dxa" w:w="4464"/>
            <w:vAlign w:val="center"/>
            <w:tcMar>
              <w:top w:w="90" w:type="dxa"/>
              <w:bottom w:w="90" w:type="dxa"/>
              <w:left w:w="120" w:type="dxa"/>
              <w:right w:w="120" w:type="dxa"/>
            </w:tcMar>
          </w:tcPr>
          <w:p>
            <w:pPr>
              <w:spacing w:after="0"/>
            </w:pPr>
            <w:r>
              <w:rPr>
                <w:sz w:val="19"/>
              </w:rPr>
              <w:t>Accurately extracts text and tables from skewed scans, bilingual state government NOCs, stamped affidavits, and architectural schedules.</w:t>
            </w:r>
          </w:p>
        </w:tc>
      </w:tr>
      <w:tr>
        <w:tc>
          <w:tcPr>
            <w:tcW w:type="dxa" w:w="2304"/>
            <w:vAlign w:val="center"/>
            <w:tcMar>
              <w:top w:w="90" w:type="dxa"/>
              <w:bottom w:w="90" w:type="dxa"/>
              <w:left w:w="120" w:type="dxa"/>
              <w:right w:w="120" w:type="dxa"/>
            </w:tcMar>
            <w:shd w:fill="F1F5F9"/>
          </w:tcPr>
          <w:p>
            <w:pPr>
              <w:spacing w:after="0"/>
            </w:pPr>
            <w:r>
              <w:rPr>
                <w:sz w:val="19"/>
              </w:rPr>
              <w:t>Document Forensics &amp; Crypto Verification</w:t>
            </w:r>
          </w:p>
        </w:tc>
        <w:tc>
          <w:tcPr>
            <w:tcW w:type="dxa" w:w="3312"/>
            <w:vAlign w:val="center"/>
            <w:tcMar>
              <w:top w:w="90" w:type="dxa"/>
              <w:bottom w:w="90" w:type="dxa"/>
              <w:left w:w="120" w:type="dxa"/>
              <w:right w:w="120" w:type="dxa"/>
            </w:tcMar>
            <w:shd w:fill="F1F5F9"/>
          </w:tcPr>
          <w:p>
            <w:pPr>
              <w:spacing w:after="0"/>
            </w:pPr>
            <w:r>
              <w:rPr>
                <w:sz w:val="19"/>
              </w:rPr>
              <w:t>OpenCV, SciPy (ELA &amp; Noise Variance), PyMuPDF (fitz), pyHanko (X.509 PKI), ImageHash (pHash)</w:t>
            </w:r>
          </w:p>
        </w:tc>
        <w:tc>
          <w:tcPr>
            <w:tcW w:type="dxa" w:w="4464"/>
            <w:vAlign w:val="center"/>
            <w:tcMar>
              <w:top w:w="90" w:type="dxa"/>
              <w:bottom w:w="90" w:type="dxa"/>
              <w:left w:w="120" w:type="dxa"/>
              <w:right w:w="120" w:type="dxa"/>
            </w:tcMar>
            <w:shd w:fill="F1F5F9"/>
          </w:tcPr>
          <w:p>
            <w:pPr>
              <w:spacing w:after="0"/>
            </w:pPr>
            <w:r>
              <w:rPr>
                <w:sz w:val="19"/>
              </w:rPr>
              <w:t>Detects pixel-level splice/clone tampering, flags unauthorized PDF producer metadata, and cryptographically validates DSC e-signatures.</w:t>
            </w:r>
          </w:p>
        </w:tc>
      </w:tr>
      <w:tr>
        <w:tc>
          <w:tcPr>
            <w:tcW w:type="dxa" w:w="2304"/>
            <w:vAlign w:val="center"/>
            <w:tcMar>
              <w:top w:w="90" w:type="dxa"/>
              <w:bottom w:w="90" w:type="dxa"/>
              <w:left w:w="120" w:type="dxa"/>
              <w:right w:w="120" w:type="dxa"/>
            </w:tcMar>
          </w:tcPr>
          <w:p>
            <w:pPr>
              <w:spacing w:after="0"/>
            </w:pPr>
            <w:r>
              <w:rPr>
                <w:sz w:val="19"/>
              </w:rPr>
              <w:t>Infrastructure Computer Vision</w:t>
            </w:r>
          </w:p>
        </w:tc>
        <w:tc>
          <w:tcPr>
            <w:tcW w:type="dxa" w:w="3312"/>
            <w:vAlign w:val="center"/>
            <w:tcMar>
              <w:top w:w="90" w:type="dxa"/>
              <w:bottom w:w="90" w:type="dxa"/>
              <w:left w:w="120" w:type="dxa"/>
              <w:right w:w="120" w:type="dxa"/>
            </w:tcMar>
          </w:tcPr>
          <w:p>
            <w:pPr>
              <w:spacing w:after="0"/>
            </w:pPr>
            <w:r>
              <w:rPr>
                <w:sz w:val="19"/>
              </w:rPr>
              <w:t>Ultralytics YOLOv8, OpenAI CLIP (sentence-transformers), ExifRead</w:t>
            </w:r>
          </w:p>
        </w:tc>
        <w:tc>
          <w:tcPr>
            <w:tcW w:type="dxa" w:w="4464"/>
            <w:vAlign w:val="center"/>
            <w:tcMar>
              <w:top w:w="90" w:type="dxa"/>
              <w:bottom w:w="90" w:type="dxa"/>
              <w:left w:w="120" w:type="dxa"/>
              <w:right w:w="120" w:type="dxa"/>
            </w:tcMar>
          </w:tcPr>
          <w:p>
            <w:pPr>
              <w:spacing w:after="0"/>
            </w:pPr>
            <w:r>
              <w:rPr>
                <w:sz w:val="19"/>
              </w:rPr>
              <w:t>Counts computers, desks, and accessibility ramps in photos while using 512-d CLIP embeddings to catch duplicate/recycled room images.</w:t>
            </w:r>
          </w:p>
        </w:tc>
      </w:tr>
      <w:tr>
        <w:tc>
          <w:tcPr>
            <w:tcW w:type="dxa" w:w="2304"/>
            <w:vAlign w:val="center"/>
            <w:tcMar>
              <w:top w:w="90" w:type="dxa"/>
              <w:bottom w:w="90" w:type="dxa"/>
              <w:left w:w="120" w:type="dxa"/>
              <w:right w:w="120" w:type="dxa"/>
            </w:tcMar>
            <w:shd w:fill="F1F5F9"/>
          </w:tcPr>
          <w:p>
            <w:pPr>
              <w:spacing w:after="0"/>
            </w:pPr>
            <w:r>
              <w:rPr>
                <w:sz w:val="19"/>
              </w:rPr>
              <w:t>Database &amp; Vector Search</w:t>
            </w:r>
          </w:p>
        </w:tc>
        <w:tc>
          <w:tcPr>
            <w:tcW w:type="dxa" w:w="3312"/>
            <w:vAlign w:val="center"/>
            <w:tcMar>
              <w:top w:w="90" w:type="dxa"/>
              <w:bottom w:w="90" w:type="dxa"/>
              <w:left w:w="120" w:type="dxa"/>
              <w:right w:w="120" w:type="dxa"/>
            </w:tcMar>
            <w:shd w:fill="F1F5F9"/>
          </w:tcPr>
          <w:p>
            <w:pPr>
              <w:spacing w:after="0"/>
            </w:pPr>
            <w:r>
              <w:rPr>
                <w:sz w:val="19"/>
              </w:rPr>
              <w:t>PostgreSQL 16 + pgvector</w:t>
            </w:r>
          </w:p>
        </w:tc>
        <w:tc>
          <w:tcPr>
            <w:tcW w:type="dxa" w:w="4464"/>
            <w:vAlign w:val="center"/>
            <w:tcMar>
              <w:top w:w="90" w:type="dxa"/>
              <w:bottom w:w="90" w:type="dxa"/>
              <w:left w:w="120" w:type="dxa"/>
              <w:right w:w="120" w:type="dxa"/>
            </w:tcMar>
            <w:shd w:fill="F1F5F9"/>
          </w:tcPr>
          <w:p>
            <w:pPr>
              <w:spacing w:after="0"/>
            </w:pPr>
            <w:r>
              <w:rPr>
                <w:sz w:val="19"/>
              </w:rPr>
              <w:t>Unified ACID relational database and vector store for institutional records, cross-document entity graphs, and perceptual image embeddings.</w:t>
            </w:r>
          </w:p>
        </w:tc>
      </w:tr>
      <w:tr>
        <w:tc>
          <w:tcPr>
            <w:tcW w:type="dxa" w:w="2304"/>
            <w:vAlign w:val="center"/>
            <w:tcMar>
              <w:top w:w="90" w:type="dxa"/>
              <w:bottom w:w="90" w:type="dxa"/>
              <w:left w:w="120" w:type="dxa"/>
              <w:right w:w="120" w:type="dxa"/>
            </w:tcMar>
          </w:tcPr>
          <w:p>
            <w:pPr>
              <w:spacing w:after="0"/>
            </w:pPr>
            <w:r>
              <w:rPr>
                <w:sz w:val="19"/>
              </w:rPr>
              <w:t>Immutable Storage &amp; Security</w:t>
            </w:r>
          </w:p>
        </w:tc>
        <w:tc>
          <w:tcPr>
            <w:tcW w:type="dxa" w:w="3312"/>
            <w:vAlign w:val="center"/>
            <w:tcMar>
              <w:top w:w="90" w:type="dxa"/>
              <w:bottom w:w="90" w:type="dxa"/>
              <w:left w:w="120" w:type="dxa"/>
              <w:right w:w="120" w:type="dxa"/>
            </w:tcMar>
          </w:tcPr>
          <w:p>
            <w:pPr>
              <w:spacing w:after="0"/>
            </w:pPr>
            <w:r>
              <w:rPr>
                <w:sz w:val="19"/>
              </w:rPr>
              <w:t>MinIO (S3 WORM Object Lock), OAuth2 + JWT RBAC, SHA-256 Hash-Chained Audit Table, Docker Compose</w:t>
            </w:r>
          </w:p>
        </w:tc>
        <w:tc>
          <w:tcPr>
            <w:tcW w:type="dxa" w:w="4464"/>
            <w:vAlign w:val="center"/>
            <w:tcMar>
              <w:top w:w="90" w:type="dxa"/>
              <w:bottom w:w="90" w:type="dxa"/>
              <w:left w:w="120" w:type="dxa"/>
              <w:right w:w="120" w:type="dxa"/>
            </w:tcMar>
          </w:tcPr>
          <w:p>
            <w:pPr>
              <w:spacing w:after="0"/>
            </w:pPr>
            <w:r>
              <w:rPr>
                <w:sz w:val="19"/>
              </w:rPr>
              <w:t>Guarantees tamper-proof evidence preservation, strict role-based access control, and containerized deployment on NIC/GovCloud infrastructure.</w:t>
            </w:r>
          </w:p>
        </w:tc>
      </w:tr>
    </w:tbl>
    <w:p>
      <w:pPr>
        <w:keepNext/>
        <w:spacing w:before="320" w:after="120"/>
        <w:pBdr>
          <w:bottom w:val="single" w:sz="12" w:space="4" w:color="0D9488"/>
        </w:pBdr>
      </w:pPr>
      <w:r>
        <w:rPr>
          <w:rFonts w:ascii="Calibri" w:hAnsi="Calibri"/>
          <w:b/>
          <w:color w:val="0D9488"/>
          <w:sz w:val="30"/>
        </w:rPr>
        <w:t xml:space="preserve">07  </w:t>
      </w:r>
      <w:r>
        <w:rPr>
          <w:rFonts w:ascii="Calibri" w:hAnsi="Calibri"/>
          <w:b/>
          <w:color w:val="0F2C59"/>
          <w:sz w:val="30"/>
        </w:rPr>
        <w:t>FEASIBILITY, VIABILITY, RISKS &amp; REGULATORY SAFEGUARDS</w:t>
      </w:r>
    </w:p>
    <w:p>
      <w:pPr>
        <w:keepNext/>
        <w:spacing w:before="200" w:after="80"/>
      </w:pPr>
      <w:r>
        <w:rPr>
          <w:rFonts w:ascii="Calibri" w:hAnsi="Calibri"/>
          <w:b/>
          <w:color w:val="0F2C59"/>
          <w:sz w:val="24"/>
        </w:rPr>
        <w:t>7.1 Technical, Operational &amp; Economic Feasibility</w:t>
      </w:r>
    </w:p>
    <w:p>
      <w:pPr>
        <w:pStyle w:val="ListBullet"/>
        <w:spacing w:before="40" w:after="80" w:line="276" w:lineRule="auto"/>
      </w:pPr>
      <w:r>
        <w:rPr>
          <w:b/>
          <w:color w:val="0F172A"/>
        </w:rPr>
        <w:t xml:space="preserve">Technical Feasibility: </w:t>
      </w:r>
      <w:r>
        <w:rPr>
          <w:color w:val="0F172A"/>
        </w:rPr>
        <w:t>Built entirely on mature, open-source, production-proven libraries (FastAPI, PostgreSQL, OpenCV, PyMuPDF, YOLOv8, CLIP). Requires no proprietary black-box dependencies and runs efficiently on standard GPU/CPU cloud instances (MeitY GI Cloud / MeghRaj).</w:t>
      </w:r>
    </w:p>
    <w:p>
      <w:pPr>
        <w:pStyle w:val="ListBullet"/>
        <w:spacing w:before="40" w:after="80" w:line="276" w:lineRule="auto"/>
      </w:pPr>
      <w:r>
        <w:rPr>
          <w:b/>
          <w:color w:val="0F172A"/>
        </w:rPr>
        <w:t xml:space="preserve">Operational Feasibility (Seamless AICTE Integration): </w:t>
      </w:r>
      <w:r>
        <w:rPr>
          <w:color w:val="0F172A"/>
        </w:rPr>
        <w:t>Designed as a loosely coupled microservice layer exposing REST/Webhook APIs. It plugs directly into the existing AICTE EoA portal without disrupting legacy workflows, supporting gradual rollout across Regional Offices.</w:t>
      </w:r>
    </w:p>
    <w:p>
      <w:pPr>
        <w:pStyle w:val="ListBullet"/>
        <w:spacing w:before="40" w:after="80" w:line="276" w:lineRule="auto"/>
      </w:pPr>
      <w:r>
        <w:rPr>
          <w:b/>
          <w:color w:val="0F172A"/>
        </w:rPr>
        <w:t xml:space="preserve">Economic Viability &amp; Cost Efficiency: </w:t>
      </w:r>
      <w:r>
        <w:rPr>
          <w:color w:val="0F172A"/>
        </w:rPr>
        <w:t>By running lightweight open-weight OCR/CV models first and triggering deep LLM extraction only on relevant pages, processing cost per institutional application (40–50 documents) is kept under INR 12–18, saving hundreds of officer-hours.</w:t>
      </w:r>
    </w:p>
    <w:p>
      <w:pPr>
        <w:keepNext/>
        <w:spacing w:before="200" w:after="80"/>
      </w:pPr>
      <w:r>
        <w:rPr>
          <w:rFonts w:ascii="Calibri" w:hAnsi="Calibri"/>
          <w:b/>
          <w:color w:val="0F2C59"/>
          <w:sz w:val="24"/>
        </w:rPr>
        <w:t>7.2 Risk Analysis &amp; Mitigation Matrix</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3360"/>
        <w:gridCol w:w="3360"/>
        <w:gridCol w:w="3360"/>
      </w:tblGrid>
      <w:tr>
        <w:tc>
          <w:tcPr>
            <w:tcW w:type="dxa" w:w="3168"/>
            <w:vAlign w:val="center"/>
            <w:tcMar>
              <w:top w:w="90" w:type="dxa"/>
              <w:bottom w:w="90" w:type="dxa"/>
              <w:left w:w="120" w:type="dxa"/>
              <w:right w:w="120" w:type="dxa"/>
            </w:tcMar>
            <w:shd w:fill="0F2C59"/>
          </w:tcPr>
          <w:p>
            <w:pPr>
              <w:spacing w:after="0"/>
            </w:pPr>
            <w:r>
              <w:rPr>
                <w:b/>
                <w:color w:val="FFFFFF"/>
                <w:sz w:val="20"/>
              </w:rPr>
              <w:t>Identified Operational / Technical Risk</w:t>
            </w:r>
          </w:p>
        </w:tc>
        <w:tc>
          <w:tcPr>
            <w:tcW w:type="dxa" w:w="1440"/>
            <w:vAlign w:val="center"/>
            <w:tcMar>
              <w:top w:w="90" w:type="dxa"/>
              <w:bottom w:w="90" w:type="dxa"/>
              <w:left w:w="120" w:type="dxa"/>
              <w:right w:w="120" w:type="dxa"/>
            </w:tcMar>
            <w:shd w:fill="0F2C59"/>
          </w:tcPr>
          <w:p>
            <w:pPr>
              <w:spacing w:after="0"/>
            </w:pPr>
            <w:r>
              <w:rPr>
                <w:b/>
                <w:color w:val="FFFFFF"/>
                <w:sz w:val="20"/>
              </w:rPr>
              <w:t>Impact Severity</w:t>
            </w:r>
          </w:p>
        </w:tc>
        <w:tc>
          <w:tcPr>
            <w:tcW w:type="dxa" w:w="5472"/>
            <w:vAlign w:val="center"/>
            <w:tcMar>
              <w:top w:w="90" w:type="dxa"/>
              <w:bottom w:w="90" w:type="dxa"/>
              <w:left w:w="120" w:type="dxa"/>
              <w:right w:w="120" w:type="dxa"/>
            </w:tcMar>
            <w:shd w:fill="0F2C59"/>
          </w:tcPr>
          <w:p>
            <w:pPr>
              <w:spacing w:after="0"/>
            </w:pPr>
            <w:r>
              <w:rPr>
                <w:b/>
                <w:color w:val="FFFFFF"/>
                <w:sz w:val="20"/>
              </w:rPr>
              <w:t>Engineered Mitigation Strategy in PRAMAAN-AICTE</w:t>
            </w:r>
          </w:p>
        </w:tc>
      </w:tr>
      <w:tr>
        <w:tc>
          <w:tcPr>
            <w:tcW w:type="dxa" w:w="3168"/>
            <w:vAlign w:val="center"/>
            <w:tcMar>
              <w:top w:w="90" w:type="dxa"/>
              <w:bottom w:w="90" w:type="dxa"/>
              <w:left w:w="120" w:type="dxa"/>
              <w:right w:w="120" w:type="dxa"/>
            </w:tcMar>
          </w:tcPr>
          <w:p>
            <w:pPr>
              <w:spacing w:after="0"/>
            </w:pPr>
            <w:r>
              <w:rPr>
                <w:sz w:val="19"/>
              </w:rPr>
              <w:t>External Issuing-Authority Portal Downtime or Missing APIs (e.g., local municipality NOCs)</w:t>
            </w:r>
          </w:p>
        </w:tc>
        <w:tc>
          <w:tcPr>
            <w:tcW w:type="dxa" w:w="1440"/>
            <w:vAlign w:val="center"/>
            <w:tcMar>
              <w:top w:w="90" w:type="dxa"/>
              <w:bottom w:w="90" w:type="dxa"/>
              <w:left w:w="120" w:type="dxa"/>
              <w:right w:w="120" w:type="dxa"/>
            </w:tcMar>
          </w:tcPr>
          <w:p>
            <w:pPr>
              <w:spacing w:after="0"/>
            </w:pPr>
            <w:r>
              <w:rPr>
                <w:sz w:val="19"/>
              </w:rPr>
              <w:t>High</w:t>
            </w:r>
          </w:p>
        </w:tc>
        <w:tc>
          <w:tcPr>
            <w:tcW w:type="dxa" w:w="5472"/>
            <w:vAlign w:val="center"/>
            <w:tcMar>
              <w:top w:w="90" w:type="dxa"/>
              <w:bottom w:w="90" w:type="dxa"/>
              <w:left w:w="120" w:type="dxa"/>
              <w:right w:w="120" w:type="dxa"/>
            </w:tcMar>
          </w:tcPr>
          <w:p>
            <w:pPr>
              <w:spacing w:after="0"/>
            </w:pPr>
            <w:r>
              <w:rPr>
                <w:sz w:val="19"/>
              </w:rPr>
              <w:t>Circuit-Breaker Gateway with automatic retry queues; if source is unreachable or unsupported, stamps status as SOURCE_UNAVAILABLE / MANUAL_REVIEW_REQUIRED and verifies QR/DSC locally.</w:t>
            </w:r>
          </w:p>
        </w:tc>
      </w:tr>
      <w:tr>
        <w:tc>
          <w:tcPr>
            <w:tcW w:type="dxa" w:w="3168"/>
            <w:vAlign w:val="center"/>
            <w:tcMar>
              <w:top w:w="90" w:type="dxa"/>
              <w:bottom w:w="90" w:type="dxa"/>
              <w:left w:w="120" w:type="dxa"/>
              <w:right w:w="120" w:type="dxa"/>
            </w:tcMar>
            <w:shd w:fill="F1F5F9"/>
          </w:tcPr>
          <w:p>
            <w:pPr>
              <w:spacing w:after="0"/>
            </w:pPr>
            <w:r>
              <w:rPr>
                <w:sz w:val="19"/>
              </w:rPr>
              <w:t>Low-Quality / Skewed Scanned Documents Causing OCR Errors</w:t>
            </w:r>
          </w:p>
        </w:tc>
        <w:tc>
          <w:tcPr>
            <w:tcW w:type="dxa" w:w="1440"/>
            <w:vAlign w:val="center"/>
            <w:tcMar>
              <w:top w:w="90" w:type="dxa"/>
              <w:bottom w:w="90" w:type="dxa"/>
              <w:left w:w="120" w:type="dxa"/>
              <w:right w:w="120" w:type="dxa"/>
            </w:tcMar>
            <w:shd w:fill="F1F5F9"/>
          </w:tcPr>
          <w:p>
            <w:pPr>
              <w:spacing w:after="0"/>
            </w:pPr>
            <w:r>
              <w:rPr>
                <w:sz w:val="19"/>
              </w:rPr>
              <w:t>Medium</w:t>
            </w:r>
          </w:p>
        </w:tc>
        <w:tc>
          <w:tcPr>
            <w:tcW w:type="dxa" w:w="5472"/>
            <w:vAlign w:val="center"/>
            <w:tcMar>
              <w:top w:w="90" w:type="dxa"/>
              <w:bottom w:w="90" w:type="dxa"/>
              <w:left w:w="120" w:type="dxa"/>
              <w:right w:w="120" w:type="dxa"/>
            </w:tcMar>
            <w:shd w:fill="F1F5F9"/>
          </w:tcPr>
          <w:p>
            <w:pPr>
              <w:spacing w:after="0"/>
            </w:pPr>
            <w:r>
              <w:rPr>
                <w:sz w:val="19"/>
              </w:rPr>
              <w:t>Pre-ingestion OpenCV deskewing, adaptive binarization, and DPI check; low-confidence extractions (&lt;0.80) highlight the exact bounding box for rapid human confirmation.</w:t>
            </w:r>
          </w:p>
        </w:tc>
      </w:tr>
      <w:tr>
        <w:tc>
          <w:tcPr>
            <w:tcW w:type="dxa" w:w="3168"/>
            <w:vAlign w:val="center"/>
            <w:tcMar>
              <w:top w:w="90" w:type="dxa"/>
              <w:bottom w:w="90" w:type="dxa"/>
              <w:left w:w="120" w:type="dxa"/>
              <w:right w:w="120" w:type="dxa"/>
            </w:tcMar>
          </w:tcPr>
          <w:p>
            <w:pPr>
              <w:spacing w:after="0"/>
            </w:pPr>
            <w:r>
              <w:rPr>
                <w:sz w:val="19"/>
              </w:rPr>
              <w:t>False Positives in ELA Forensics due to Repeated Scanning/Compression</w:t>
            </w:r>
          </w:p>
        </w:tc>
        <w:tc>
          <w:tcPr>
            <w:tcW w:type="dxa" w:w="1440"/>
            <w:vAlign w:val="center"/>
            <w:tcMar>
              <w:top w:w="90" w:type="dxa"/>
              <w:bottom w:w="90" w:type="dxa"/>
              <w:left w:w="120" w:type="dxa"/>
              <w:right w:w="120" w:type="dxa"/>
            </w:tcMar>
          </w:tcPr>
          <w:p>
            <w:pPr>
              <w:spacing w:after="0"/>
            </w:pPr>
            <w:r>
              <w:rPr>
                <w:sz w:val="19"/>
              </w:rPr>
              <w:t>Medium</w:t>
            </w:r>
          </w:p>
        </w:tc>
        <w:tc>
          <w:tcPr>
            <w:tcW w:type="dxa" w:w="5472"/>
            <w:vAlign w:val="center"/>
            <w:tcMar>
              <w:top w:w="90" w:type="dxa"/>
              <w:bottom w:w="90" w:type="dxa"/>
              <w:left w:w="120" w:type="dxa"/>
              <w:right w:w="120" w:type="dxa"/>
            </w:tcMar>
          </w:tcPr>
          <w:p>
            <w:pPr>
              <w:spacing w:after="0"/>
            </w:pPr>
            <w:r>
              <w:rPr>
                <w:sz w:val="19"/>
              </w:rPr>
              <w:t>Combines ELA pixel scores with PDF metadata/font-tree checks and treats all flags strictly as 'Preliminary Advisory Indicators' requiring human scrutiny—never auto-rejecting.</w:t>
            </w:r>
          </w:p>
        </w:tc>
      </w:tr>
      <w:tr>
        <w:tc>
          <w:tcPr>
            <w:tcW w:type="dxa" w:w="3168"/>
            <w:vAlign w:val="center"/>
            <w:tcMar>
              <w:top w:w="90" w:type="dxa"/>
              <w:bottom w:w="90" w:type="dxa"/>
              <w:left w:w="120" w:type="dxa"/>
              <w:right w:w="120" w:type="dxa"/>
            </w:tcMar>
            <w:shd w:fill="F1F5F9"/>
          </w:tcPr>
          <w:p>
            <w:pPr>
              <w:spacing w:after="0"/>
            </w:pPr>
            <w:r>
              <w:rPr>
                <w:sz w:val="19"/>
              </w:rPr>
              <w:t>Data Privacy, Unauthorized Access &amp; Evidence Tampering Concerns</w:t>
            </w:r>
          </w:p>
        </w:tc>
        <w:tc>
          <w:tcPr>
            <w:tcW w:type="dxa" w:w="1440"/>
            <w:vAlign w:val="center"/>
            <w:tcMar>
              <w:top w:w="90" w:type="dxa"/>
              <w:bottom w:w="90" w:type="dxa"/>
              <w:left w:w="120" w:type="dxa"/>
              <w:right w:w="120" w:type="dxa"/>
            </w:tcMar>
            <w:shd w:fill="F1F5F9"/>
          </w:tcPr>
          <w:p>
            <w:pPr>
              <w:spacing w:after="0"/>
            </w:pPr>
            <w:r>
              <w:rPr>
                <w:sz w:val="19"/>
              </w:rPr>
              <w:t>High</w:t>
            </w:r>
          </w:p>
        </w:tc>
        <w:tc>
          <w:tcPr>
            <w:tcW w:type="dxa" w:w="5472"/>
            <w:vAlign w:val="center"/>
            <w:tcMar>
              <w:top w:w="90" w:type="dxa"/>
              <w:bottom w:w="90" w:type="dxa"/>
              <w:left w:w="120" w:type="dxa"/>
              <w:right w:w="120" w:type="dxa"/>
            </w:tcMar>
            <w:shd w:fill="F1F5F9"/>
          </w:tcPr>
          <w:p>
            <w:pPr>
              <w:spacing w:after="0"/>
            </w:pPr>
            <w:r>
              <w:rPr>
                <w:sz w:val="19"/>
              </w:rPr>
              <w:t>Strict RBAC, AES-256 encryption at rest in MinIO WORM storage, zero external training on AICTE data, and SHA-256 hash-chained audit logging of every view/action.</w:t>
            </w:r>
          </w:p>
        </w:tc>
      </w:tr>
    </w:tbl>
    <w:p>
      <w:pPr>
        <w:keepNext/>
        <w:spacing w:before="200" w:after="80"/>
      </w:pPr>
      <w:r>
        <w:rPr>
          <w:rFonts w:ascii="Calibri" w:hAnsi="Calibri"/>
          <w:b/>
          <w:color w:val="0F2C59"/>
          <w:sz w:val="24"/>
        </w:rPr>
        <w:t>7.3 Strict Adherence to AICTE Essential Safeguards</w:t>
      </w:r>
    </w:p>
    <w:tbl>
      <w:tblPr>
        <w:tblW w:type="auto" w:w="0"/>
        <w:jc w:val="center"/>
        <w:tblLook w:firstColumn="1" w:firstRow="1" w:lastColumn="0" w:lastRow="0" w:noHBand="0" w:noVBand="1" w:val="04A0"/>
      </w:tblPr>
      <w:tblGrid>
        <w:gridCol w:w="10080"/>
      </w:tblGrid>
      <w:tr>
        <w:tc>
          <w:tcPr>
            <w:tcW w:type="dxa" w:w="10080"/>
            <w:shd w:fill="E0F2FE"/>
            <w:tcMar>
              <w:top w:w="140" w:type="dxa"/>
              <w:bottom w:w="140" w:type="dxa"/>
              <w:left w:w="180" w:type="dxa"/>
              <w:right w:w="180" w:type="dxa"/>
            </w:tcMar>
            <w:tcBorders>
              <w:left w:val="single" w:sz="24" w:space="0" w:color="0D9488"/>
              <w:top w:val="none"/>
              <w:right w:val="none"/>
              <w:bottom w:val="none"/>
            </w:tcBorders>
          </w:tcPr>
          <w:p>
            <w:pPr>
              <w:spacing w:after="60"/>
            </w:pPr>
            <w:r>
              <w:rPr>
                <w:b/>
                <w:color w:val="0F2C59"/>
                <w:sz w:val="22"/>
              </w:rPr>
              <w:t>Statutory Human-in-the-Loop (HITL) Governance Guarantee</w:t>
              <w:br/>
            </w:r>
            <w:r>
              <w:rPr>
                <w:color w:val="0F172A"/>
                <w:sz w:val="20"/>
              </w:rPr>
              <w:t>1. Configurability: All validation checklists and thresholds are dynamically driven by the applicable AICTE Approval Process Handbook (APH).</w:t>
              <w:br/>
              <w:t>2. Authorized Access Only: Enforces strict Role-Based Access Control (RBAC); never bypasses access controls or queries unauthorized external databases.</w:t>
              <w:br/>
              <w:t>3. Explainable Evidence: 100% of AI flags attach visual bounding boxes, ELA heatmaps, source API timestamps, and exact APH clause citations.</w:t>
              <w:br/>
              <w:t>4. Advisory Output Only: AI findings are strictly decision-support outputs. Statutory scrutiny, physical EVC inspections, and final approval/rejection decisions remain exclusively with competent AICTE authorities.</w:t>
            </w:r>
          </w:p>
        </w:tc>
      </w:tr>
    </w:tbl>
    <w:p>
      <w:pPr>
        <w:spacing w:after="40"/>
      </w:pPr>
    </w:p>
    <w:p>
      <w:pPr>
        <w:keepNext/>
        <w:spacing w:before="320" w:after="120"/>
        <w:pBdr>
          <w:bottom w:val="single" w:sz="12" w:space="4" w:color="0D9488"/>
        </w:pBdr>
      </w:pPr>
      <w:r>
        <w:rPr>
          <w:rFonts w:ascii="Calibri" w:hAnsi="Calibri"/>
          <w:b/>
          <w:color w:val="0D9488"/>
          <w:sz w:val="30"/>
        </w:rPr>
        <w:t xml:space="preserve">08  </w:t>
      </w:r>
      <w:r>
        <w:rPr>
          <w:rFonts w:ascii="Calibri" w:hAnsi="Calibri"/>
          <w:b/>
          <w:color w:val="0F2C59"/>
          <w:sz w:val="30"/>
        </w:rPr>
        <w:t>TARGETED AUDIENCE &amp; USER PERSONAS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3360"/>
        <w:gridCol w:w="3360"/>
        <w:gridCol w:w="3360"/>
      </w:tblGrid>
      <w:tr>
        <w:tc>
          <w:tcPr>
            <w:tcW w:type="dxa" w:w="2736"/>
            <w:vAlign w:val="center"/>
            <w:tcMar>
              <w:top w:w="90" w:type="dxa"/>
              <w:bottom w:w="90" w:type="dxa"/>
              <w:left w:w="120" w:type="dxa"/>
              <w:right w:w="120" w:type="dxa"/>
            </w:tcMar>
            <w:shd w:fill="0F2C59"/>
          </w:tcPr>
          <w:p>
            <w:pPr>
              <w:spacing w:after="0"/>
            </w:pPr>
            <w:r>
              <w:rPr>
                <w:b/>
                <w:color w:val="FFFFFF"/>
                <w:sz w:val="20"/>
              </w:rPr>
              <w:t>Target Stakeholder Group</w:t>
            </w:r>
          </w:p>
        </w:tc>
        <w:tc>
          <w:tcPr>
            <w:tcW w:type="dxa" w:w="2736"/>
            <w:vAlign w:val="center"/>
            <w:tcMar>
              <w:top w:w="90" w:type="dxa"/>
              <w:bottom w:w="90" w:type="dxa"/>
              <w:left w:w="120" w:type="dxa"/>
              <w:right w:w="120" w:type="dxa"/>
            </w:tcMar>
            <w:shd w:fill="0F2C59"/>
          </w:tcPr>
          <w:p>
            <w:pPr>
              <w:spacing w:after="0"/>
            </w:pPr>
            <w:r>
              <w:rPr>
                <w:b/>
                <w:color w:val="FFFFFF"/>
                <w:sz w:val="20"/>
              </w:rPr>
              <w:t>Primary Interface Used</w:t>
            </w:r>
          </w:p>
        </w:tc>
        <w:tc>
          <w:tcPr>
            <w:tcW w:type="dxa" w:w="4608"/>
            <w:vAlign w:val="center"/>
            <w:tcMar>
              <w:top w:w="90" w:type="dxa"/>
              <w:bottom w:w="90" w:type="dxa"/>
              <w:left w:w="120" w:type="dxa"/>
              <w:right w:w="120" w:type="dxa"/>
            </w:tcMar>
            <w:shd w:fill="0F2C59"/>
          </w:tcPr>
          <w:p>
            <w:pPr>
              <w:spacing w:after="0"/>
            </w:pPr>
            <w:r>
              <w:rPr>
                <w:b/>
                <w:color w:val="FFFFFF"/>
                <w:sz w:val="20"/>
              </w:rPr>
              <w:t>Core Value Delivered to User</w:t>
            </w:r>
          </w:p>
        </w:tc>
      </w:tr>
      <w:tr>
        <w:tc>
          <w:tcPr>
            <w:tcW w:type="dxa" w:w="2736"/>
            <w:vAlign w:val="center"/>
            <w:tcMar>
              <w:top w:w="90" w:type="dxa"/>
              <w:bottom w:w="90" w:type="dxa"/>
              <w:left w:w="120" w:type="dxa"/>
              <w:right w:w="120" w:type="dxa"/>
            </w:tcMar>
          </w:tcPr>
          <w:p>
            <w:pPr>
              <w:spacing w:after="0"/>
            </w:pPr>
            <w:r>
              <w:rPr>
                <w:sz w:val="19"/>
              </w:rPr>
              <w:t>AICTE Scrutiny &amp; Re-Scrutiny Committee Officers</w:t>
            </w:r>
          </w:p>
        </w:tc>
        <w:tc>
          <w:tcPr>
            <w:tcW w:type="dxa" w:w="2736"/>
            <w:vAlign w:val="center"/>
            <w:tcMar>
              <w:top w:w="90" w:type="dxa"/>
              <w:bottom w:w="90" w:type="dxa"/>
              <w:left w:w="120" w:type="dxa"/>
              <w:right w:w="120" w:type="dxa"/>
            </w:tcMar>
          </w:tcPr>
          <w:p>
            <w:pPr>
              <w:spacing w:after="0"/>
            </w:pPr>
            <w:r>
              <w:rPr>
                <w:sz w:val="19"/>
              </w:rPr>
              <w:t>Desktop Split-Screen Forensic Workbench</w:t>
            </w:r>
          </w:p>
        </w:tc>
        <w:tc>
          <w:tcPr>
            <w:tcW w:type="dxa" w:w="4608"/>
            <w:vAlign w:val="center"/>
            <w:tcMar>
              <w:top w:w="90" w:type="dxa"/>
              <w:bottom w:w="90" w:type="dxa"/>
              <w:left w:w="120" w:type="dxa"/>
              <w:right w:w="120" w:type="dxa"/>
            </w:tcMar>
          </w:tcPr>
          <w:p>
            <w:pPr>
              <w:spacing w:after="0"/>
            </w:pPr>
            <w:r>
              <w:rPr>
                <w:sz w:val="19"/>
              </w:rPr>
              <w:t>Eliminates manual page-by-page reading of 50+ PDFs; immediately surfaces cross-document mismatches, expired NOCs, and suspected tampering with visual proof.</w:t>
            </w:r>
          </w:p>
        </w:tc>
      </w:tr>
      <w:tr>
        <w:tc>
          <w:tcPr>
            <w:tcW w:type="dxa" w:w="2736"/>
            <w:vAlign w:val="center"/>
            <w:tcMar>
              <w:top w:w="90" w:type="dxa"/>
              <w:bottom w:w="90" w:type="dxa"/>
              <w:left w:w="120" w:type="dxa"/>
              <w:right w:w="120" w:type="dxa"/>
            </w:tcMar>
            <w:shd w:fill="F1F5F9"/>
          </w:tcPr>
          <w:p>
            <w:pPr>
              <w:spacing w:after="0"/>
            </w:pPr>
            <w:r>
              <w:rPr>
                <w:sz w:val="19"/>
              </w:rPr>
              <w:t>AICTE Expert Visit Committee (EVC) &amp; SAC/SHC Officials</w:t>
            </w:r>
          </w:p>
        </w:tc>
        <w:tc>
          <w:tcPr>
            <w:tcW w:type="dxa" w:w="2736"/>
            <w:vAlign w:val="center"/>
            <w:tcMar>
              <w:top w:w="90" w:type="dxa"/>
              <w:bottom w:w="90" w:type="dxa"/>
              <w:left w:w="120" w:type="dxa"/>
              <w:right w:w="120" w:type="dxa"/>
            </w:tcMar>
            <w:shd w:fill="F1F5F9"/>
          </w:tcPr>
          <w:p>
            <w:pPr>
              <w:spacing w:after="0"/>
            </w:pPr>
            <w:r>
              <w:rPr>
                <w:sz w:val="19"/>
              </w:rPr>
              <w:t>Mobile Inspector PWA &amp; Summary Dashboard</w:t>
            </w:r>
          </w:p>
        </w:tc>
        <w:tc>
          <w:tcPr>
            <w:tcW w:type="dxa" w:w="4608"/>
            <w:vAlign w:val="center"/>
            <w:tcMar>
              <w:top w:w="90" w:type="dxa"/>
              <w:bottom w:w="90" w:type="dxa"/>
              <w:left w:w="120" w:type="dxa"/>
              <w:right w:w="120" w:type="dxa"/>
            </w:tcMar>
            <w:shd w:fill="F1F5F9"/>
          </w:tcPr>
          <w:p>
            <w:pPr>
              <w:spacing w:after="0"/>
            </w:pPr>
            <w:r>
              <w:rPr>
                <w:sz w:val="19"/>
              </w:rPr>
              <w:t>Provides pre-visit intelligence on flagged infrastructure gaps (e.g., lab PC shortfall or duplicate photos) so physical inspections are targeted and evidence-backed.</w:t>
            </w:r>
          </w:p>
        </w:tc>
      </w:tr>
      <w:tr>
        <w:tc>
          <w:tcPr>
            <w:tcW w:type="dxa" w:w="2736"/>
            <w:vAlign w:val="center"/>
            <w:tcMar>
              <w:top w:w="90" w:type="dxa"/>
              <w:bottom w:w="90" w:type="dxa"/>
              <w:left w:w="120" w:type="dxa"/>
              <w:right w:w="120" w:type="dxa"/>
            </w:tcMar>
          </w:tcPr>
          <w:p>
            <w:pPr>
              <w:spacing w:after="0"/>
            </w:pPr>
            <w:r>
              <w:rPr>
                <w:sz w:val="19"/>
              </w:rPr>
              <w:t>AICTE Regulation Bureau &amp; Regional Offices</w:t>
            </w:r>
          </w:p>
        </w:tc>
        <w:tc>
          <w:tcPr>
            <w:tcW w:type="dxa" w:w="2736"/>
            <w:vAlign w:val="center"/>
            <w:tcMar>
              <w:top w:w="90" w:type="dxa"/>
              <w:bottom w:w="90" w:type="dxa"/>
              <w:left w:w="120" w:type="dxa"/>
              <w:right w:w="120" w:type="dxa"/>
            </w:tcMar>
          </w:tcPr>
          <w:p>
            <w:pPr>
              <w:spacing w:after="0"/>
            </w:pPr>
            <w:r>
              <w:rPr>
                <w:sz w:val="19"/>
              </w:rPr>
              <w:t>Centralized Analytics &amp; Audit Console</w:t>
            </w:r>
          </w:p>
        </w:tc>
        <w:tc>
          <w:tcPr>
            <w:tcW w:type="dxa" w:w="4608"/>
            <w:vAlign w:val="center"/>
            <w:tcMar>
              <w:top w:w="90" w:type="dxa"/>
              <w:bottom w:w="90" w:type="dxa"/>
              <w:left w:w="120" w:type="dxa"/>
              <w:right w:w="120" w:type="dxa"/>
            </w:tcMar>
          </w:tcPr>
          <w:p>
            <w:pPr>
              <w:spacing w:after="0"/>
            </w:pPr>
            <w:r>
              <w:rPr>
                <w:sz w:val="19"/>
              </w:rPr>
              <w:t>Real-time visibility into region-wise application validation statuses, deficiency trends, pending source verifications, and complete digital audit trails.</w:t>
            </w:r>
          </w:p>
        </w:tc>
      </w:tr>
      <w:tr>
        <w:tc>
          <w:tcPr>
            <w:tcW w:type="dxa" w:w="2736"/>
            <w:vAlign w:val="center"/>
            <w:tcMar>
              <w:top w:w="90" w:type="dxa"/>
              <w:bottom w:w="90" w:type="dxa"/>
              <w:left w:w="120" w:type="dxa"/>
              <w:right w:w="120" w:type="dxa"/>
            </w:tcMar>
            <w:shd w:fill="F1F5F9"/>
          </w:tcPr>
          <w:p>
            <w:pPr>
              <w:spacing w:after="0"/>
            </w:pPr>
            <w:r>
              <w:rPr>
                <w:sz w:val="19"/>
              </w:rPr>
              <w:t>AICTE-Approved Technical Institutions (Nodal Officers)</w:t>
            </w:r>
          </w:p>
        </w:tc>
        <w:tc>
          <w:tcPr>
            <w:tcW w:type="dxa" w:w="2736"/>
            <w:vAlign w:val="center"/>
            <w:tcMar>
              <w:top w:w="90" w:type="dxa"/>
              <w:bottom w:w="90" w:type="dxa"/>
              <w:left w:w="120" w:type="dxa"/>
              <w:right w:w="120" w:type="dxa"/>
            </w:tcMar>
            <w:shd w:fill="F1F5F9"/>
          </w:tcPr>
          <w:p>
            <w:pPr>
              <w:spacing w:after="0"/>
            </w:pPr>
            <w:r>
              <w:rPr>
                <w:sz w:val="19"/>
              </w:rPr>
              <w:t>Institution Pre-Validation Web Portal &amp; Capture App</w:t>
            </w:r>
          </w:p>
        </w:tc>
        <w:tc>
          <w:tcPr>
            <w:tcW w:type="dxa" w:w="4608"/>
            <w:vAlign w:val="center"/>
            <w:tcMar>
              <w:top w:w="90" w:type="dxa"/>
              <w:bottom w:w="90" w:type="dxa"/>
              <w:left w:w="120" w:type="dxa"/>
              <w:right w:w="120" w:type="dxa"/>
            </w:tcMar>
            <w:shd w:fill="F1F5F9"/>
          </w:tcPr>
          <w:p>
            <w:pPr>
              <w:spacing w:after="0"/>
            </w:pPr>
            <w:r>
              <w:rPr>
                <w:sz w:val="19"/>
              </w:rPr>
              <w:t>Catches missing fields, clerical mismatches, and expired documents before submission, enabling timely rectification and preventing avoidable rejection/appeals.</w:t>
            </w:r>
          </w:p>
        </w:tc>
      </w:tr>
      <w:tr>
        <w:tc>
          <w:tcPr>
            <w:tcW w:type="dxa" w:w="2736"/>
            <w:vAlign w:val="center"/>
            <w:tcMar>
              <w:top w:w="90" w:type="dxa"/>
              <w:bottom w:w="90" w:type="dxa"/>
              <w:left w:w="120" w:type="dxa"/>
              <w:right w:w="120" w:type="dxa"/>
            </w:tcMar>
          </w:tcPr>
          <w:p>
            <w:pPr>
              <w:spacing w:after="0"/>
            </w:pPr>
            <w:r>
              <w:rPr>
                <w:sz w:val="19"/>
              </w:rPr>
              <w:t>Issuing Authorities &amp; Regulatory Ecosystem</w:t>
            </w:r>
          </w:p>
        </w:tc>
        <w:tc>
          <w:tcPr>
            <w:tcW w:type="dxa" w:w="2736"/>
            <w:vAlign w:val="center"/>
            <w:tcMar>
              <w:top w:w="90" w:type="dxa"/>
              <w:bottom w:w="90" w:type="dxa"/>
              <w:left w:w="120" w:type="dxa"/>
              <w:right w:w="120" w:type="dxa"/>
            </w:tcMar>
          </w:tcPr>
          <w:p>
            <w:pPr>
              <w:spacing w:after="0"/>
            </w:pPr>
            <w:r>
              <w:rPr>
                <w:sz w:val="19"/>
              </w:rPr>
              <w:t>Standardized Verification API Gateway</w:t>
            </w:r>
          </w:p>
        </w:tc>
        <w:tc>
          <w:tcPr>
            <w:tcW w:type="dxa" w:w="4608"/>
            <w:vAlign w:val="center"/>
            <w:tcMar>
              <w:top w:w="90" w:type="dxa"/>
              <w:bottom w:w="90" w:type="dxa"/>
              <w:left w:w="120" w:type="dxa"/>
              <w:right w:w="120" w:type="dxa"/>
            </w:tcMar>
          </w:tcPr>
          <w:p>
            <w:pPr>
              <w:spacing w:after="0"/>
            </w:pPr>
            <w:r>
              <w:rPr>
                <w:sz w:val="19"/>
              </w:rPr>
              <w:t>Replaces slow manual verification letters with instant, cryptographic QR/API handshakes for NOCs, affiliations, and accreditations.</w:t>
            </w:r>
          </w:p>
        </w:tc>
      </w:tr>
    </w:tbl>
    <w:p>
      <w:pPr>
        <w:keepNext/>
        <w:spacing w:before="320" w:after="120"/>
        <w:pBdr>
          <w:bottom w:val="single" w:sz="12" w:space="4" w:color="0D9488"/>
        </w:pBdr>
      </w:pPr>
      <w:r>
        <w:rPr>
          <w:rFonts w:ascii="Calibri" w:hAnsi="Calibri"/>
          <w:b/>
          <w:color w:val="0D9488"/>
          <w:sz w:val="30"/>
        </w:rPr>
        <w:t xml:space="preserve">09  </w:t>
      </w:r>
      <w:r>
        <w:rPr>
          <w:rFonts w:ascii="Calibri" w:hAnsi="Calibri"/>
          <w:b/>
          <w:color w:val="0F2C59"/>
          <w:sz w:val="30"/>
        </w:rPr>
        <w:t>BENEFITS OF SOLUTION &amp; EXPECTED OUTCOMES (KPI BENCHMARKS)</w:t>
      </w:r>
    </w:p>
    <w:p>
      <w:pPr>
        <w:keepNext/>
        <w:spacing w:before="200" w:after="80"/>
      </w:pPr>
      <w:r>
        <w:rPr>
          <w:rFonts w:ascii="Calibri" w:hAnsi="Calibri"/>
          <w:b/>
          <w:color w:val="0F2C59"/>
          <w:sz w:val="24"/>
        </w:rPr>
        <w:t>9.1 Strategic Benefits Across Dimensions</w:t>
      </w:r>
    </w:p>
    <w:p>
      <w:pPr>
        <w:pStyle w:val="ListBullet"/>
        <w:spacing w:before="40" w:after="80" w:line="276" w:lineRule="auto"/>
      </w:pPr>
      <w:r>
        <w:rPr>
          <w:b/>
          <w:color w:val="0F172A"/>
        </w:rPr>
        <w:t xml:space="preserve">Administrative &amp; Operational Efficiency: </w:t>
      </w:r>
      <w:r>
        <w:rPr>
          <w:color w:val="0F172A"/>
        </w:rPr>
        <w:t>Reduces preliminary application scrutiny time from 3–4 hours of manual checking to under 90 seconds of automated pre-validation, freeing AICTE officers to focus on complex statutory judgments.</w:t>
      </w:r>
    </w:p>
    <w:p>
      <w:pPr>
        <w:pStyle w:val="ListBullet"/>
        <w:spacing w:before="40" w:after="80" w:line="276" w:lineRule="auto"/>
      </w:pPr>
      <w:r>
        <w:rPr>
          <w:b/>
          <w:color w:val="0F172A"/>
        </w:rPr>
        <w:t xml:space="preserve">Regulatory Integrity &amp; Fraud Deterrence: </w:t>
      </w:r>
      <w:r>
        <w:rPr>
          <w:color w:val="0F172A"/>
        </w:rPr>
        <w:t>Acts as a powerful deterrent against forged NOCs, altered validity dates, and recycled infrastructure photographs across technical institutions nationwide.</w:t>
      </w:r>
    </w:p>
    <w:p>
      <w:pPr>
        <w:pStyle w:val="ListBullet"/>
        <w:spacing w:before="40" w:after="80" w:line="276" w:lineRule="auto"/>
      </w:pPr>
      <w:r>
        <w:rPr>
          <w:b/>
          <w:color w:val="0F172A"/>
        </w:rPr>
        <w:t xml:space="preserve">Institutional Transparency &amp; Ease of Compliance: </w:t>
      </w:r>
      <w:r>
        <w:rPr>
          <w:color w:val="0F172A"/>
        </w:rPr>
        <w:t>Empowers genuine institutions with clear, APH-linked pre-submission feedback, reducing arbitrary delays and repetitive deficiency hearings.</w:t>
      </w:r>
    </w:p>
    <w:p>
      <w:pPr>
        <w:pStyle w:val="ListBullet"/>
        <w:spacing w:before="40" w:after="80" w:line="276" w:lineRule="auto"/>
      </w:pPr>
      <w:r>
        <w:rPr>
          <w:b/>
          <w:color w:val="0F172A"/>
        </w:rPr>
        <w:t xml:space="preserve">Accountability &amp; Auditability: </w:t>
      </w:r>
      <w:r>
        <w:rPr>
          <w:color w:val="0F172A"/>
        </w:rPr>
        <w:t>Establishes a standardized, tamper-proof digital trail of every rule checked, external source queried, and official observation recorded.</w:t>
      </w:r>
    </w:p>
    <w:p>
      <w:pPr>
        <w:keepNext/>
        <w:spacing w:before="200" w:after="80"/>
      </w:pPr>
      <w:r>
        <w:rPr>
          <w:rFonts w:ascii="Calibri" w:hAnsi="Calibri"/>
          <w:b/>
          <w:color w:val="0F2C59"/>
          <w:sz w:val="24"/>
        </w:rPr>
        <w:t>9.2 Quantitative Expected Outcomes &amp; Evaluation Metrics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2520"/>
        <w:gridCol w:w="2520"/>
        <w:gridCol w:w="2520"/>
        <w:gridCol w:w="2520"/>
      </w:tblGrid>
      <w:tr>
        <w:tc>
          <w:tcPr>
            <w:tcW w:type="dxa" w:w="2592"/>
            <w:vAlign w:val="center"/>
            <w:tcMar>
              <w:top w:w="90" w:type="dxa"/>
              <w:bottom w:w="90" w:type="dxa"/>
              <w:left w:w="120" w:type="dxa"/>
              <w:right w:w="120" w:type="dxa"/>
            </w:tcMar>
            <w:shd w:fill="0F2C59"/>
          </w:tcPr>
          <w:p>
            <w:pPr>
              <w:spacing w:after="0"/>
            </w:pPr>
            <w:r>
              <w:rPr>
                <w:b/>
                <w:color w:val="FFFFFF"/>
                <w:sz w:val="20"/>
              </w:rPr>
              <w:t>Evaluation Metric / KPI</w:t>
            </w:r>
          </w:p>
        </w:tc>
        <w:tc>
          <w:tcPr>
            <w:tcW w:type="dxa" w:w="2160"/>
            <w:vAlign w:val="center"/>
            <w:tcMar>
              <w:top w:w="90" w:type="dxa"/>
              <w:bottom w:w="90" w:type="dxa"/>
              <w:left w:w="120" w:type="dxa"/>
              <w:right w:w="120" w:type="dxa"/>
            </w:tcMar>
            <w:shd w:fill="0F2C59"/>
          </w:tcPr>
          <w:p>
            <w:pPr>
              <w:spacing w:after="0"/>
            </w:pPr>
            <w:r>
              <w:rPr>
                <w:b/>
                <w:color w:val="FFFFFF"/>
                <w:sz w:val="20"/>
              </w:rPr>
              <w:t>Current Manual Baseline</w:t>
            </w:r>
          </w:p>
        </w:tc>
        <w:tc>
          <w:tcPr>
            <w:tcW w:type="dxa" w:w="2448"/>
            <w:vAlign w:val="center"/>
            <w:tcMar>
              <w:top w:w="90" w:type="dxa"/>
              <w:bottom w:w="90" w:type="dxa"/>
              <w:left w:w="120" w:type="dxa"/>
              <w:right w:w="120" w:type="dxa"/>
            </w:tcMar>
            <w:shd w:fill="0F2C59"/>
          </w:tcPr>
          <w:p>
            <w:pPr>
              <w:spacing w:after="0"/>
            </w:pPr>
            <w:r>
              <w:rPr>
                <w:b/>
                <w:color w:val="FFFFFF"/>
                <w:sz w:val="20"/>
              </w:rPr>
              <w:t>PRAMAAN-AICTE Target</w:t>
            </w:r>
          </w:p>
        </w:tc>
        <w:tc>
          <w:tcPr>
            <w:tcW w:type="dxa" w:w="2880"/>
            <w:vAlign w:val="center"/>
            <w:tcMar>
              <w:top w:w="90" w:type="dxa"/>
              <w:bottom w:w="90" w:type="dxa"/>
              <w:left w:w="120" w:type="dxa"/>
              <w:right w:w="120" w:type="dxa"/>
            </w:tcMar>
            <w:shd w:fill="0F2C59"/>
          </w:tcPr>
          <w:p>
            <w:pPr>
              <w:spacing w:after="0"/>
            </w:pPr>
            <w:r>
              <w:rPr>
                <w:b/>
                <w:color w:val="FFFFFF"/>
                <w:sz w:val="20"/>
              </w:rPr>
              <w:t>Measurement Methodology</w:t>
            </w:r>
          </w:p>
        </w:tc>
      </w:tr>
      <w:tr>
        <w:tc>
          <w:tcPr>
            <w:tcW w:type="dxa" w:w="2592"/>
            <w:vAlign w:val="center"/>
            <w:tcMar>
              <w:top w:w="90" w:type="dxa"/>
              <w:bottom w:w="90" w:type="dxa"/>
              <w:left w:w="120" w:type="dxa"/>
              <w:right w:w="120" w:type="dxa"/>
            </w:tcMar>
          </w:tcPr>
          <w:p>
            <w:pPr>
              <w:spacing w:after="0"/>
            </w:pPr>
            <w:r>
              <w:rPr>
                <w:sz w:val="19"/>
              </w:rPr>
              <w:t>Average Preliminary Scrutiny Time</w:t>
            </w:r>
          </w:p>
        </w:tc>
        <w:tc>
          <w:tcPr>
            <w:tcW w:type="dxa" w:w="2160"/>
            <w:vAlign w:val="center"/>
            <w:tcMar>
              <w:top w:w="90" w:type="dxa"/>
              <w:bottom w:w="90" w:type="dxa"/>
              <w:left w:w="120" w:type="dxa"/>
              <w:right w:w="120" w:type="dxa"/>
            </w:tcMar>
          </w:tcPr>
          <w:p>
            <w:pPr>
              <w:spacing w:after="0"/>
            </w:pPr>
            <w:r>
              <w:rPr>
                <w:sz w:val="19"/>
              </w:rPr>
              <w:t>180 – 240 mins / application</w:t>
            </w:r>
          </w:p>
        </w:tc>
        <w:tc>
          <w:tcPr>
            <w:tcW w:type="dxa" w:w="2448"/>
            <w:vAlign w:val="center"/>
            <w:tcMar>
              <w:top w:w="90" w:type="dxa"/>
              <w:bottom w:w="90" w:type="dxa"/>
              <w:left w:w="120" w:type="dxa"/>
              <w:right w:w="120" w:type="dxa"/>
            </w:tcMar>
          </w:tcPr>
          <w:p>
            <w:pPr>
              <w:spacing w:after="0"/>
            </w:pPr>
            <w:r>
              <w:rPr>
                <w:sz w:val="19"/>
              </w:rPr>
              <w:t>&lt; 90 seconds (Automated) + 15 mins HITL review</w:t>
            </w:r>
          </w:p>
        </w:tc>
        <w:tc>
          <w:tcPr>
            <w:tcW w:type="dxa" w:w="2880"/>
            <w:vAlign w:val="center"/>
            <w:tcMar>
              <w:top w:w="90" w:type="dxa"/>
              <w:bottom w:w="90" w:type="dxa"/>
              <w:left w:w="120" w:type="dxa"/>
              <w:right w:w="120" w:type="dxa"/>
            </w:tcMar>
          </w:tcPr>
          <w:p>
            <w:pPr>
              <w:spacing w:after="0"/>
            </w:pPr>
            <w:r>
              <w:rPr>
                <w:sz w:val="19"/>
              </w:rPr>
              <w:t>End-to-end timestamp delta from document upload to generated Validation Report.</w:t>
            </w:r>
          </w:p>
        </w:tc>
      </w:tr>
      <w:tr>
        <w:tc>
          <w:tcPr>
            <w:tcW w:type="dxa" w:w="2592"/>
            <w:vAlign w:val="center"/>
            <w:tcMar>
              <w:top w:w="90" w:type="dxa"/>
              <w:bottom w:w="90" w:type="dxa"/>
              <w:left w:w="120" w:type="dxa"/>
              <w:right w:w="120" w:type="dxa"/>
            </w:tcMar>
            <w:shd w:fill="F1F5F9"/>
          </w:tcPr>
          <w:p>
            <w:pPr>
              <w:spacing w:after="0"/>
            </w:pPr>
            <w:r>
              <w:rPr>
                <w:sz w:val="19"/>
              </w:rPr>
              <w:t>Document Classification &amp; OCR Extraction Accuracy</w:t>
            </w:r>
          </w:p>
        </w:tc>
        <w:tc>
          <w:tcPr>
            <w:tcW w:type="dxa" w:w="2160"/>
            <w:vAlign w:val="center"/>
            <w:tcMar>
              <w:top w:w="90" w:type="dxa"/>
              <w:bottom w:w="90" w:type="dxa"/>
              <w:left w:w="120" w:type="dxa"/>
              <w:right w:w="120" w:type="dxa"/>
            </w:tcMar>
            <w:shd w:fill="F1F5F9"/>
          </w:tcPr>
          <w:p>
            <w:pPr>
              <w:spacing w:after="0"/>
            </w:pPr>
            <w:r>
              <w:rPr>
                <w:sz w:val="19"/>
              </w:rPr>
              <w:t>Manual / Prone to fatigue errors</w:t>
            </w:r>
          </w:p>
        </w:tc>
        <w:tc>
          <w:tcPr>
            <w:tcW w:type="dxa" w:w="2448"/>
            <w:vAlign w:val="center"/>
            <w:tcMar>
              <w:top w:w="90" w:type="dxa"/>
              <w:bottom w:w="90" w:type="dxa"/>
              <w:left w:w="120" w:type="dxa"/>
              <w:right w:w="120" w:type="dxa"/>
            </w:tcMar>
            <w:shd w:fill="F1F5F9"/>
          </w:tcPr>
          <w:p>
            <w:pPr>
              <w:spacing w:after="0"/>
            </w:pPr>
            <w:r>
              <w:rPr>
                <w:sz w:val="19"/>
              </w:rPr>
              <w:t>&gt; 94.5% Precision &amp; Recall</w:t>
            </w:r>
          </w:p>
        </w:tc>
        <w:tc>
          <w:tcPr>
            <w:tcW w:type="dxa" w:w="2880"/>
            <w:vAlign w:val="center"/>
            <w:tcMar>
              <w:top w:w="90" w:type="dxa"/>
              <w:bottom w:w="90" w:type="dxa"/>
              <w:left w:w="120" w:type="dxa"/>
              <w:right w:w="120" w:type="dxa"/>
            </w:tcMar>
            <w:shd w:fill="F1F5F9"/>
          </w:tcPr>
          <w:p>
            <w:pPr>
              <w:spacing w:after="0"/>
            </w:pPr>
            <w:r>
              <w:rPr>
                <w:sz w:val="19"/>
              </w:rPr>
              <w:t>Evaluated on synthetic &amp; anonymized multi-document EoA test datasets.</w:t>
            </w:r>
          </w:p>
        </w:tc>
      </w:tr>
      <w:tr>
        <w:tc>
          <w:tcPr>
            <w:tcW w:type="dxa" w:w="2592"/>
            <w:vAlign w:val="center"/>
            <w:tcMar>
              <w:top w:w="90" w:type="dxa"/>
              <w:bottom w:w="90" w:type="dxa"/>
              <w:left w:w="120" w:type="dxa"/>
              <w:right w:w="120" w:type="dxa"/>
            </w:tcMar>
          </w:tcPr>
          <w:p>
            <w:pPr>
              <w:spacing w:after="0"/>
            </w:pPr>
            <w:r>
              <w:rPr>
                <w:sz w:val="19"/>
              </w:rPr>
              <w:t>Cross-Document Mismatch Detection Rate</w:t>
            </w:r>
          </w:p>
        </w:tc>
        <w:tc>
          <w:tcPr>
            <w:tcW w:type="dxa" w:w="2160"/>
            <w:vAlign w:val="center"/>
            <w:tcMar>
              <w:top w:w="90" w:type="dxa"/>
              <w:bottom w:w="90" w:type="dxa"/>
              <w:left w:w="120" w:type="dxa"/>
              <w:right w:w="120" w:type="dxa"/>
            </w:tcMar>
          </w:tcPr>
          <w:p>
            <w:pPr>
              <w:spacing w:after="0"/>
            </w:pPr>
            <w:r>
              <w:rPr>
                <w:sz w:val="19"/>
              </w:rPr>
              <w:t>~60% (subtle contradictions missed)</w:t>
            </w:r>
          </w:p>
        </w:tc>
        <w:tc>
          <w:tcPr>
            <w:tcW w:type="dxa" w:w="2448"/>
            <w:vAlign w:val="center"/>
            <w:tcMar>
              <w:top w:w="90" w:type="dxa"/>
              <w:bottom w:w="90" w:type="dxa"/>
              <w:left w:w="120" w:type="dxa"/>
              <w:right w:w="120" w:type="dxa"/>
            </w:tcMar>
          </w:tcPr>
          <w:p>
            <w:pPr>
              <w:spacing w:after="0"/>
            </w:pPr>
            <w:r>
              <w:rPr>
                <w:sz w:val="19"/>
              </w:rPr>
              <w:t>&gt; 98.0% Rule &amp; Graph Recall</w:t>
            </w:r>
          </w:p>
        </w:tc>
        <w:tc>
          <w:tcPr>
            <w:tcW w:type="dxa" w:w="2880"/>
            <w:vAlign w:val="center"/>
            <w:tcMar>
              <w:top w:w="90" w:type="dxa"/>
              <w:bottom w:w="90" w:type="dxa"/>
              <w:left w:w="120" w:type="dxa"/>
              <w:right w:w="120" w:type="dxa"/>
            </w:tcMar>
          </w:tcPr>
          <w:p>
            <w:pPr>
              <w:spacing w:after="0"/>
            </w:pPr>
            <w:r>
              <w:rPr>
                <w:sz w:val="19"/>
              </w:rPr>
              <w:t>Injected discrepancies across Survey No, Area, Intake, and Expiry Dates.</w:t>
            </w:r>
          </w:p>
        </w:tc>
      </w:tr>
      <w:tr>
        <w:tc>
          <w:tcPr>
            <w:tcW w:type="dxa" w:w="2592"/>
            <w:vAlign w:val="center"/>
            <w:tcMar>
              <w:top w:w="90" w:type="dxa"/>
              <w:bottom w:w="90" w:type="dxa"/>
              <w:left w:w="120" w:type="dxa"/>
              <w:right w:w="120" w:type="dxa"/>
            </w:tcMar>
            <w:shd w:fill="F1F5F9"/>
          </w:tcPr>
          <w:p>
            <w:pPr>
              <w:spacing w:after="0"/>
            </w:pPr>
            <w:r>
              <w:rPr>
                <w:sz w:val="19"/>
              </w:rPr>
              <w:t>Tampering &amp; Duplicate Anomaly Detection</w:t>
            </w:r>
          </w:p>
        </w:tc>
        <w:tc>
          <w:tcPr>
            <w:tcW w:type="dxa" w:w="2160"/>
            <w:vAlign w:val="center"/>
            <w:tcMar>
              <w:top w:w="90" w:type="dxa"/>
              <w:bottom w:w="90" w:type="dxa"/>
              <w:left w:w="120" w:type="dxa"/>
              <w:right w:w="120" w:type="dxa"/>
            </w:tcMar>
            <w:shd w:fill="F1F5F9"/>
          </w:tcPr>
          <w:p>
            <w:pPr>
              <w:spacing w:after="0"/>
            </w:pPr>
            <w:r>
              <w:rPr>
                <w:sz w:val="19"/>
              </w:rPr>
              <w:t>Visual guesswork only</w:t>
            </w:r>
          </w:p>
        </w:tc>
        <w:tc>
          <w:tcPr>
            <w:tcW w:type="dxa" w:w="2448"/>
            <w:vAlign w:val="center"/>
            <w:tcMar>
              <w:top w:w="90" w:type="dxa"/>
              <w:bottom w:w="90" w:type="dxa"/>
              <w:left w:w="120" w:type="dxa"/>
              <w:right w:w="120" w:type="dxa"/>
            </w:tcMar>
            <w:shd w:fill="F1F5F9"/>
          </w:tcPr>
          <w:p>
            <w:pPr>
              <w:spacing w:after="0"/>
            </w:pPr>
            <w:r>
              <w:rPr>
                <w:sz w:val="19"/>
              </w:rPr>
              <w:t>&gt; 91.0% F1-Score (ELA + pHash + CLIP)</w:t>
            </w:r>
          </w:p>
        </w:tc>
        <w:tc>
          <w:tcPr>
            <w:tcW w:type="dxa" w:w="2880"/>
            <w:vAlign w:val="center"/>
            <w:tcMar>
              <w:top w:w="90" w:type="dxa"/>
              <w:bottom w:w="90" w:type="dxa"/>
              <w:left w:w="120" w:type="dxa"/>
              <w:right w:w="120" w:type="dxa"/>
            </w:tcMar>
            <w:shd w:fill="F1F5F9"/>
          </w:tcPr>
          <w:p>
            <w:pPr>
              <w:spacing w:after="0"/>
            </w:pPr>
            <w:r>
              <w:rPr>
                <w:sz w:val="19"/>
              </w:rPr>
              <w:t>Tested against splice-edited dates, forged stamps, and reused lab images.</w:t>
            </w:r>
          </w:p>
        </w:tc>
      </w:tr>
      <w:tr>
        <w:tc>
          <w:tcPr>
            <w:tcW w:type="dxa" w:w="2592"/>
            <w:vAlign w:val="center"/>
            <w:tcMar>
              <w:top w:w="90" w:type="dxa"/>
              <w:bottom w:w="90" w:type="dxa"/>
              <w:left w:w="120" w:type="dxa"/>
              <w:right w:w="120" w:type="dxa"/>
            </w:tcMar>
          </w:tcPr>
          <w:p>
            <w:pPr>
              <w:spacing w:after="0"/>
            </w:pPr>
            <w:r>
              <w:rPr>
                <w:sz w:val="19"/>
              </w:rPr>
              <w:t>Source Verification Turnaround Time</w:t>
            </w:r>
          </w:p>
        </w:tc>
        <w:tc>
          <w:tcPr>
            <w:tcW w:type="dxa" w:w="2160"/>
            <w:vAlign w:val="center"/>
            <w:tcMar>
              <w:top w:w="90" w:type="dxa"/>
              <w:bottom w:w="90" w:type="dxa"/>
              <w:left w:w="120" w:type="dxa"/>
              <w:right w:w="120" w:type="dxa"/>
            </w:tcMar>
          </w:tcPr>
          <w:p>
            <w:pPr>
              <w:spacing w:after="0"/>
            </w:pPr>
            <w:r>
              <w:rPr>
                <w:sz w:val="19"/>
              </w:rPr>
              <w:t>Days / Weeks (manual letters/portals)</w:t>
            </w:r>
          </w:p>
        </w:tc>
        <w:tc>
          <w:tcPr>
            <w:tcW w:type="dxa" w:w="2448"/>
            <w:vAlign w:val="center"/>
            <w:tcMar>
              <w:top w:w="90" w:type="dxa"/>
              <w:bottom w:w="90" w:type="dxa"/>
              <w:left w:w="120" w:type="dxa"/>
              <w:right w:w="120" w:type="dxa"/>
            </w:tcMar>
          </w:tcPr>
          <w:p>
            <w:pPr>
              <w:spacing w:after="0"/>
            </w:pPr>
            <w:r>
              <w:rPr>
                <w:sz w:val="19"/>
              </w:rPr>
              <w:t>&lt; 3 seconds per API/QR/DSC check</w:t>
            </w:r>
          </w:p>
        </w:tc>
        <w:tc>
          <w:tcPr>
            <w:tcW w:type="dxa" w:w="2880"/>
            <w:vAlign w:val="center"/>
            <w:tcMar>
              <w:top w:w="90" w:type="dxa"/>
              <w:bottom w:w="90" w:type="dxa"/>
              <w:left w:w="120" w:type="dxa"/>
              <w:right w:w="120" w:type="dxa"/>
            </w:tcMar>
          </w:tcPr>
          <w:p>
            <w:pPr>
              <w:spacing w:after="0"/>
            </w:pPr>
            <w:r>
              <w:rPr>
                <w:sz w:val="19"/>
              </w:rPr>
              <w:t>Automated gateway latency across DSC PKI, QR decode, and sandbox APIs.</w:t>
            </w:r>
          </w:p>
        </w:tc>
      </w:tr>
      <w:tr>
        <w:tc>
          <w:tcPr>
            <w:tcW w:type="dxa" w:w="2592"/>
            <w:vAlign w:val="center"/>
            <w:tcMar>
              <w:top w:w="90" w:type="dxa"/>
              <w:bottom w:w="90" w:type="dxa"/>
              <w:left w:w="120" w:type="dxa"/>
              <w:right w:w="120" w:type="dxa"/>
            </w:tcMar>
            <w:shd w:fill="F1F5F9"/>
          </w:tcPr>
          <w:p>
            <w:pPr>
              <w:spacing w:after="0"/>
            </w:pPr>
            <w:r>
              <w:rPr>
                <w:sz w:val="19"/>
              </w:rPr>
              <w:t>Audit Trail &amp; Explainability Coverage</w:t>
            </w:r>
          </w:p>
        </w:tc>
        <w:tc>
          <w:tcPr>
            <w:tcW w:type="dxa" w:w="2160"/>
            <w:vAlign w:val="center"/>
            <w:tcMar>
              <w:top w:w="90" w:type="dxa"/>
              <w:bottom w:w="90" w:type="dxa"/>
              <w:left w:w="120" w:type="dxa"/>
              <w:right w:w="120" w:type="dxa"/>
            </w:tcMar>
            <w:shd w:fill="F1F5F9"/>
          </w:tcPr>
          <w:p>
            <w:pPr>
              <w:spacing w:after="0"/>
            </w:pPr>
            <w:r>
              <w:rPr>
                <w:sz w:val="19"/>
              </w:rPr>
              <w:t>Fragmented manual remarks</w:t>
            </w:r>
          </w:p>
        </w:tc>
        <w:tc>
          <w:tcPr>
            <w:tcW w:type="dxa" w:w="2448"/>
            <w:vAlign w:val="center"/>
            <w:tcMar>
              <w:top w:w="90" w:type="dxa"/>
              <w:bottom w:w="90" w:type="dxa"/>
              <w:left w:w="120" w:type="dxa"/>
              <w:right w:w="120" w:type="dxa"/>
            </w:tcMar>
            <w:shd w:fill="F1F5F9"/>
          </w:tcPr>
          <w:p>
            <w:pPr>
              <w:spacing w:after="0"/>
            </w:pPr>
            <w:r>
              <w:rPr>
                <w:sz w:val="19"/>
              </w:rPr>
              <w:t>100% Evidence-Linked &amp; Hash-Chained</w:t>
            </w:r>
          </w:p>
        </w:tc>
        <w:tc>
          <w:tcPr>
            <w:tcW w:type="dxa" w:w="2880"/>
            <w:vAlign w:val="center"/>
            <w:tcMar>
              <w:top w:w="90" w:type="dxa"/>
              <w:bottom w:w="90" w:type="dxa"/>
              <w:left w:w="120" w:type="dxa"/>
              <w:right w:w="120" w:type="dxa"/>
            </w:tcMar>
            <w:shd w:fill="F1F5F9"/>
          </w:tcPr>
          <w:p>
            <w:pPr>
              <w:spacing w:after="0"/>
            </w:pPr>
            <w:r>
              <w:rPr>
                <w:sz w:val="19"/>
              </w:rPr>
              <w:t>Percentage of flags linked to exact bounding boxes and APH clauses.</w:t>
            </w:r>
          </w:p>
        </w:tc>
      </w:tr>
    </w:tbl>
    <w:p>
      <w:pPr>
        <w:keepNext/>
        <w:spacing w:before="320" w:after="120"/>
        <w:pBdr>
          <w:bottom w:val="single" w:sz="12" w:space="4" w:color="0D9488"/>
        </w:pBdr>
      </w:pPr>
      <w:r>
        <w:rPr>
          <w:rFonts w:ascii="Calibri" w:hAnsi="Calibri"/>
          <w:b/>
          <w:color w:val="0D9488"/>
          <w:sz w:val="30"/>
        </w:rPr>
        <w:t xml:space="preserve">10  </w:t>
      </w:r>
      <w:r>
        <w:rPr>
          <w:rFonts w:ascii="Calibri" w:hAnsi="Calibri"/>
          <w:b/>
          <w:color w:val="0F2C59"/>
          <w:sz w:val="30"/>
        </w:rPr>
        <w:t>PROTOTYPE DEMONSTRATION SCENARIOS &amp; SIH 6-SLIDE DECK GUIDE</w:t>
      </w:r>
    </w:p>
    <w:p>
      <w:pPr>
        <w:keepNext/>
        <w:spacing w:before="200" w:after="80"/>
      </w:pPr>
      <w:r>
        <w:rPr>
          <w:rFonts w:ascii="Calibri" w:hAnsi="Calibri"/>
          <w:b/>
          <w:color w:val="0F2C59"/>
          <w:sz w:val="24"/>
        </w:rPr>
        <w:t>10.1 Three Golden Test Cases for Live Evaluators Demo</w:t>
      </w:r>
    </w:p>
    <w:p>
      <w:pPr>
        <w:pStyle w:val="ListBullet"/>
        <w:spacing w:before="40" w:after="80" w:line="276" w:lineRule="auto"/>
      </w:pPr>
      <w:r>
        <w:rPr>
          <w:b/>
          <w:color w:val="0F172A"/>
        </w:rPr>
        <w:t xml:space="preserve">Scenario A — Clean Compliant EoA Application (Fast-Track Green Path): </w:t>
      </w:r>
      <w:r>
        <w:rPr>
          <w:color w:val="0F172A"/>
        </w:rPr>
        <w:t>Upload a complete EoA application with valid DSC-signed Fire Safety NOC, matching Architect Floor Plan, verified TER receipt, and geo-tagged lab photos. System validates all cross-document entities and marks application 'READY FOR SCRUTINY SIGN-OFF' in 12 seconds.</w:t>
      </w:r>
    </w:p>
    <w:p>
      <w:pPr>
        <w:pStyle w:val="ListBullet"/>
        <w:spacing w:before="40" w:after="80" w:line="276" w:lineRule="auto"/>
      </w:pPr>
      <w:r>
        <w:rPr>
          <w:b/>
          <w:color w:val="0F172A"/>
        </w:rPr>
        <w:t xml:space="preserve">Scenario B — Tampered Expiry Date &amp; Metadata Anomaly (Forensic Catch): </w:t>
      </w:r>
      <w:r>
        <w:rPr>
          <w:color w:val="0F172A"/>
        </w:rPr>
        <w:t>Upload a Fire Safety NOC where the expiry year was edited from '2024' to '2027'. The Forensics Engine flags the modified PDF Producer tag and renders a glowing red Error Level Analysis (ELA) heatmap over the altered digits '2027', routing the file to 'MANUAL_REVIEW_REQUIRED'.</w:t>
      </w:r>
    </w:p>
    <w:p>
      <w:pPr>
        <w:pStyle w:val="ListBullet"/>
        <w:spacing w:before="40" w:after="80" w:line="276" w:lineRule="auto"/>
      </w:pPr>
      <w:r>
        <w:rPr>
          <w:b/>
          <w:color w:val="0F172A"/>
        </w:rPr>
        <w:t xml:space="preserve">Scenario C — Cross-Document Area Mismatch &amp; Duplicate Lab Photo (Graph + CV Catch): </w:t>
      </w:r>
      <w:r>
        <w:rPr>
          <w:color w:val="0F172A"/>
        </w:rPr>
        <w:t>Application claims 4,500 sq.m built-up area and 120 PCs across two labs, but the Land Deed shows 2,800 sq.m and Lab-2 reuses a cropped photo of Lab-1. The Entity Graph flags the area contradiction (citing APH Land Norms) while CLIP + YOLOv8 flags the duplicate room image (0.96 cosine similarity) and PC count shortfall.</w:t>
      </w:r>
    </w:p>
    <w:p>
      <w:pPr>
        <w:keepNext/>
        <w:spacing w:before="200" w:after="80"/>
      </w:pPr>
      <w:r>
        <w:rPr>
          <w:rFonts w:ascii="Calibri" w:hAnsi="Calibri"/>
          <w:b/>
          <w:color w:val="0F2C59"/>
          <w:sz w:val="24"/>
        </w:rPr>
        <w:t>10.2 Slide-by-Slide Blueprint for Your 6-Slide SIH Submission</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4" w:space="0" w:color="CBD5E1"/>
          <w:insideV w:val="single" w:sz="4" w:space="0" w:color="CBD5E1"/>
        </w:tblBorders>
      </w:tblPr>
      <w:tblGrid>
        <w:gridCol w:w="3360"/>
        <w:gridCol w:w="3360"/>
        <w:gridCol w:w="3360"/>
      </w:tblGrid>
      <w:tr>
        <w:tc>
          <w:tcPr>
            <w:tcW w:type="dxa" w:w="1008"/>
            <w:vAlign w:val="center"/>
            <w:tcMar>
              <w:top w:w="90" w:type="dxa"/>
              <w:bottom w:w="90" w:type="dxa"/>
              <w:left w:w="120" w:type="dxa"/>
              <w:right w:w="120" w:type="dxa"/>
            </w:tcMar>
            <w:shd w:fill="0F2C59"/>
          </w:tcPr>
          <w:p>
            <w:pPr>
              <w:spacing w:after="0"/>
            </w:pPr>
            <w:r>
              <w:rPr>
                <w:b/>
                <w:color w:val="FFFFFF"/>
                <w:sz w:val="20"/>
              </w:rPr>
              <w:t>Slide #</w:t>
            </w:r>
          </w:p>
        </w:tc>
        <w:tc>
          <w:tcPr>
            <w:tcW w:type="dxa" w:w="2736"/>
            <w:vAlign w:val="center"/>
            <w:tcMar>
              <w:top w:w="90" w:type="dxa"/>
              <w:bottom w:w="90" w:type="dxa"/>
              <w:left w:w="120" w:type="dxa"/>
              <w:right w:w="120" w:type="dxa"/>
            </w:tcMar>
            <w:shd w:fill="0F2C59"/>
          </w:tcPr>
          <w:p>
            <w:pPr>
              <w:spacing w:after="0"/>
            </w:pPr>
            <w:r>
              <w:rPr>
                <w:b/>
                <w:color w:val="FFFFFF"/>
                <w:sz w:val="20"/>
              </w:rPr>
              <w:t>Slide Title / Focus</w:t>
            </w:r>
          </w:p>
        </w:tc>
        <w:tc>
          <w:tcPr>
            <w:tcW w:type="dxa" w:w="6336"/>
            <w:vAlign w:val="center"/>
            <w:tcMar>
              <w:top w:w="90" w:type="dxa"/>
              <w:bottom w:w="90" w:type="dxa"/>
              <w:left w:w="120" w:type="dxa"/>
              <w:right w:w="120" w:type="dxa"/>
            </w:tcMar>
            <w:shd w:fill="0F2C59"/>
          </w:tcPr>
          <w:p>
            <w:pPr>
              <w:spacing w:after="0"/>
            </w:pPr>
            <w:r>
              <w:rPr>
                <w:b/>
                <w:color w:val="FFFFFF"/>
                <w:sz w:val="20"/>
              </w:rPr>
              <w:t>Exact Content &amp; Visual Elements to Include</w:t>
            </w:r>
          </w:p>
        </w:tc>
      </w:tr>
      <w:tr>
        <w:tc>
          <w:tcPr>
            <w:tcW w:type="dxa" w:w="1008"/>
            <w:vAlign w:val="center"/>
            <w:tcMar>
              <w:top w:w="90" w:type="dxa"/>
              <w:bottom w:w="90" w:type="dxa"/>
              <w:left w:w="120" w:type="dxa"/>
              <w:right w:w="120" w:type="dxa"/>
            </w:tcMar>
          </w:tcPr>
          <w:p>
            <w:pPr>
              <w:spacing w:after="0"/>
            </w:pPr>
            <w:r>
              <w:rPr>
                <w:sz w:val="19"/>
              </w:rPr>
              <w:t>Slide 1</w:t>
            </w:r>
          </w:p>
        </w:tc>
        <w:tc>
          <w:tcPr>
            <w:tcW w:type="dxa" w:w="2736"/>
            <w:vAlign w:val="center"/>
            <w:tcMar>
              <w:top w:w="90" w:type="dxa"/>
              <w:bottom w:w="90" w:type="dxa"/>
              <w:left w:w="120" w:type="dxa"/>
              <w:right w:w="120" w:type="dxa"/>
            </w:tcMar>
          </w:tcPr>
          <w:p>
            <w:pPr>
              <w:spacing w:after="0"/>
            </w:pPr>
            <w:r>
              <w:rPr>
                <w:sz w:val="19"/>
              </w:rPr>
              <w:t>Title &amp; Executive Summary</w:t>
            </w:r>
          </w:p>
        </w:tc>
        <w:tc>
          <w:tcPr>
            <w:tcW w:type="dxa" w:w="6336"/>
            <w:vAlign w:val="center"/>
            <w:tcMar>
              <w:top w:w="90" w:type="dxa"/>
              <w:bottom w:w="90" w:type="dxa"/>
              <w:left w:w="120" w:type="dxa"/>
              <w:right w:w="120" w:type="dxa"/>
            </w:tcMar>
          </w:tcPr>
          <w:p>
            <w:pPr>
              <w:spacing w:after="0"/>
            </w:pPr>
            <w:r>
              <w:rPr>
                <w:sz w:val="19"/>
              </w:rPr>
              <w:t>Problem Statement ID26261, Title, Team Name, Product Name ('PRAMAAN-AICTE'), and a 3-line executive summary of the AI Decision-Support &amp; Forensics Suite.</w:t>
            </w:r>
          </w:p>
        </w:tc>
      </w:tr>
      <w:tr>
        <w:tc>
          <w:tcPr>
            <w:tcW w:type="dxa" w:w="1008"/>
            <w:vAlign w:val="center"/>
            <w:tcMar>
              <w:top w:w="90" w:type="dxa"/>
              <w:bottom w:w="90" w:type="dxa"/>
              <w:left w:w="120" w:type="dxa"/>
              <w:right w:w="120" w:type="dxa"/>
            </w:tcMar>
            <w:shd w:fill="F1F5F9"/>
          </w:tcPr>
          <w:p>
            <w:pPr>
              <w:spacing w:after="0"/>
            </w:pPr>
            <w:r>
              <w:rPr>
                <w:sz w:val="19"/>
              </w:rPr>
              <w:t>Slide 2</w:t>
            </w:r>
          </w:p>
        </w:tc>
        <w:tc>
          <w:tcPr>
            <w:tcW w:type="dxa" w:w="2736"/>
            <w:vAlign w:val="center"/>
            <w:tcMar>
              <w:top w:w="90" w:type="dxa"/>
              <w:bottom w:w="90" w:type="dxa"/>
              <w:left w:w="120" w:type="dxa"/>
              <w:right w:w="120" w:type="dxa"/>
            </w:tcMar>
            <w:shd w:fill="F1F5F9"/>
          </w:tcPr>
          <w:p>
            <w:pPr>
              <w:spacing w:after="0"/>
            </w:pPr>
            <w:r>
              <w:rPr>
                <w:sz w:val="19"/>
              </w:rPr>
              <w:t>Problem In Hand &amp; Core Objectives</w:t>
            </w:r>
          </w:p>
        </w:tc>
        <w:tc>
          <w:tcPr>
            <w:tcW w:type="dxa" w:w="6336"/>
            <w:vAlign w:val="center"/>
            <w:tcMar>
              <w:top w:w="90" w:type="dxa"/>
              <w:bottom w:w="90" w:type="dxa"/>
              <w:left w:w="120" w:type="dxa"/>
              <w:right w:w="120" w:type="dxa"/>
            </w:tcMar>
            <w:shd w:fill="F1F5F9"/>
          </w:tcPr>
          <w:p>
            <w:pPr>
              <w:spacing w:after="0"/>
            </w:pPr>
            <w:r>
              <w:rPr>
                <w:sz w:val="19"/>
              </w:rPr>
              <w:t>Visual breakdown of the 5 current AICTE scrutiny bottlenecks (30–60 docs/college, date tampering, cross-doc mismatches, unverified photos) mapped to the 6 official objectives.</w:t>
            </w:r>
          </w:p>
        </w:tc>
      </w:tr>
      <w:tr>
        <w:tc>
          <w:tcPr>
            <w:tcW w:type="dxa" w:w="1008"/>
            <w:vAlign w:val="center"/>
            <w:tcMar>
              <w:top w:w="90" w:type="dxa"/>
              <w:bottom w:w="90" w:type="dxa"/>
              <w:left w:w="120" w:type="dxa"/>
              <w:right w:w="120" w:type="dxa"/>
            </w:tcMar>
          </w:tcPr>
          <w:p>
            <w:pPr>
              <w:spacing w:after="0"/>
            </w:pPr>
            <w:r>
              <w:rPr>
                <w:sz w:val="19"/>
              </w:rPr>
              <w:t>Slide 3</w:t>
            </w:r>
          </w:p>
        </w:tc>
        <w:tc>
          <w:tcPr>
            <w:tcW w:type="dxa" w:w="2736"/>
            <w:vAlign w:val="center"/>
            <w:tcMar>
              <w:top w:w="90" w:type="dxa"/>
              <w:bottom w:w="90" w:type="dxa"/>
              <w:left w:w="120" w:type="dxa"/>
              <w:right w:w="120" w:type="dxa"/>
            </w:tcMar>
          </w:tcPr>
          <w:p>
            <w:pPr>
              <w:spacing w:after="0"/>
            </w:pPr>
            <w:r>
              <w:rPr>
                <w:sz w:val="19"/>
              </w:rPr>
              <w:t>Proposed Solution &amp; Innovation</w:t>
            </w:r>
          </w:p>
        </w:tc>
        <w:tc>
          <w:tcPr>
            <w:tcW w:type="dxa" w:w="6336"/>
            <w:vAlign w:val="center"/>
            <w:tcMar>
              <w:top w:w="90" w:type="dxa"/>
              <w:bottom w:w="90" w:type="dxa"/>
              <w:left w:w="120" w:type="dxa"/>
              <w:right w:w="120" w:type="dxa"/>
            </w:tcMar>
          </w:tcPr>
          <w:p>
            <w:pPr>
              <w:spacing w:after="0"/>
            </w:pPr>
            <w:r>
              <w:rPr>
                <w:sz w:val="19"/>
              </w:rPr>
              <w:t>The 5-Pillar Solution (Dynamic APH Rules, Cross-Doc Entity Graph, ELA/PDF Forensics, Issuing-Authority Gateway, YOLOv8/CLIP Infrastructure CV) + Advisory HITL Safeguard box.</w:t>
            </w:r>
          </w:p>
        </w:tc>
      </w:tr>
      <w:tr>
        <w:tc>
          <w:tcPr>
            <w:tcW w:type="dxa" w:w="1008"/>
            <w:vAlign w:val="center"/>
            <w:tcMar>
              <w:top w:w="90" w:type="dxa"/>
              <w:bottom w:w="90" w:type="dxa"/>
              <w:left w:w="120" w:type="dxa"/>
              <w:right w:w="120" w:type="dxa"/>
            </w:tcMar>
            <w:shd w:fill="F1F5F9"/>
          </w:tcPr>
          <w:p>
            <w:pPr>
              <w:spacing w:after="0"/>
            </w:pPr>
            <w:r>
              <w:rPr>
                <w:sz w:val="19"/>
              </w:rPr>
              <w:t>Slide 4</w:t>
            </w:r>
          </w:p>
        </w:tc>
        <w:tc>
          <w:tcPr>
            <w:tcW w:type="dxa" w:w="2736"/>
            <w:vAlign w:val="center"/>
            <w:tcMar>
              <w:top w:w="90" w:type="dxa"/>
              <w:bottom w:w="90" w:type="dxa"/>
              <w:left w:w="120" w:type="dxa"/>
              <w:right w:w="120" w:type="dxa"/>
            </w:tcMar>
            <w:shd w:fill="F1F5F9"/>
          </w:tcPr>
          <w:p>
            <w:pPr>
              <w:spacing w:after="0"/>
            </w:pPr>
            <w:r>
              <w:rPr>
                <w:sz w:val="19"/>
              </w:rPr>
              <w:t>System Architecture &amp; 6-Stage Workflow</w:t>
            </w:r>
          </w:p>
        </w:tc>
        <w:tc>
          <w:tcPr>
            <w:tcW w:type="dxa" w:w="6336"/>
            <w:vAlign w:val="center"/>
            <w:tcMar>
              <w:top w:w="90" w:type="dxa"/>
              <w:bottom w:w="90" w:type="dxa"/>
              <w:left w:w="120" w:type="dxa"/>
              <w:right w:w="120" w:type="dxa"/>
            </w:tcMar>
            <w:shd w:fill="F1F5F9"/>
          </w:tcPr>
          <w:p>
            <w:pPr>
              <w:spacing w:after="0"/>
            </w:pPr>
            <w:r>
              <w:rPr>
                <w:sz w:val="19"/>
              </w:rPr>
              <w:t>Insert the 5-Layer System Architecture diagram and the 6-Stage Execution Pipeline showing Web Workbench + Companion Mobile Capture PWA + WORM Audit Ledger.</w:t>
            </w:r>
          </w:p>
        </w:tc>
      </w:tr>
      <w:tr>
        <w:tc>
          <w:tcPr>
            <w:tcW w:type="dxa" w:w="1008"/>
            <w:vAlign w:val="center"/>
            <w:tcMar>
              <w:top w:w="90" w:type="dxa"/>
              <w:bottom w:w="90" w:type="dxa"/>
              <w:left w:w="120" w:type="dxa"/>
              <w:right w:w="120" w:type="dxa"/>
            </w:tcMar>
          </w:tcPr>
          <w:p>
            <w:pPr>
              <w:spacing w:after="0"/>
            </w:pPr>
            <w:r>
              <w:rPr>
                <w:sz w:val="19"/>
              </w:rPr>
              <w:t>Slide 5</w:t>
            </w:r>
          </w:p>
        </w:tc>
        <w:tc>
          <w:tcPr>
            <w:tcW w:type="dxa" w:w="2736"/>
            <w:vAlign w:val="center"/>
            <w:tcMar>
              <w:top w:w="90" w:type="dxa"/>
              <w:bottom w:w="90" w:type="dxa"/>
              <w:left w:w="120" w:type="dxa"/>
              <w:right w:w="120" w:type="dxa"/>
            </w:tcMar>
          </w:tcPr>
          <w:p>
            <w:pPr>
              <w:spacing w:after="0"/>
            </w:pPr>
            <w:r>
              <w:rPr>
                <w:sz w:val="19"/>
              </w:rPr>
              <w:t>Tech Stack, UI Mockup &amp; Demo Cases</w:t>
            </w:r>
          </w:p>
        </w:tc>
        <w:tc>
          <w:tcPr>
            <w:tcW w:type="dxa" w:w="6336"/>
            <w:vAlign w:val="center"/>
            <w:tcMar>
              <w:top w:w="90" w:type="dxa"/>
              <w:bottom w:w="90" w:type="dxa"/>
              <w:left w:w="120" w:type="dxa"/>
              <w:right w:w="120" w:type="dxa"/>
            </w:tcMar>
          </w:tcPr>
          <w:p>
            <w:pPr>
              <w:spacing w:after="0"/>
            </w:pPr>
            <w:r>
              <w:rPr>
                <w:sz w:val="19"/>
              </w:rPr>
              <w:t>Complete Tech Stack table + Split-Screen Forensic Workbench UI wireframe showing PDF bounding boxes, ELA heatmap toggle, and the 6 Verification Status badges.</w:t>
            </w:r>
          </w:p>
        </w:tc>
      </w:tr>
      <w:tr>
        <w:tc>
          <w:tcPr>
            <w:tcW w:type="dxa" w:w="1008"/>
            <w:vAlign w:val="center"/>
            <w:tcMar>
              <w:top w:w="90" w:type="dxa"/>
              <w:bottom w:w="90" w:type="dxa"/>
              <w:left w:w="120" w:type="dxa"/>
              <w:right w:w="120" w:type="dxa"/>
            </w:tcMar>
            <w:shd w:fill="F1F5F9"/>
          </w:tcPr>
          <w:p>
            <w:pPr>
              <w:spacing w:after="0"/>
            </w:pPr>
            <w:r>
              <w:rPr>
                <w:sz w:val="19"/>
              </w:rPr>
              <w:t>Slide 6</w:t>
            </w:r>
          </w:p>
        </w:tc>
        <w:tc>
          <w:tcPr>
            <w:tcW w:type="dxa" w:w="2736"/>
            <w:vAlign w:val="center"/>
            <w:tcMar>
              <w:top w:w="90" w:type="dxa"/>
              <w:bottom w:w="90" w:type="dxa"/>
              <w:left w:w="120" w:type="dxa"/>
              <w:right w:w="120" w:type="dxa"/>
            </w:tcMar>
            <w:shd w:fill="F1F5F9"/>
          </w:tcPr>
          <w:p>
            <w:pPr>
              <w:spacing w:after="0"/>
            </w:pPr>
            <w:r>
              <w:rPr>
                <w:sz w:val="19"/>
              </w:rPr>
              <w:t>Feasibility, Safeguards &amp; Impact KPIs</w:t>
            </w:r>
          </w:p>
        </w:tc>
        <w:tc>
          <w:tcPr>
            <w:tcW w:type="dxa" w:w="6336"/>
            <w:vAlign w:val="center"/>
            <w:tcMar>
              <w:top w:w="90" w:type="dxa"/>
              <w:bottom w:w="90" w:type="dxa"/>
              <w:left w:w="120" w:type="dxa"/>
              <w:right w:w="120" w:type="dxa"/>
            </w:tcMar>
            <w:shd w:fill="F1F5F9"/>
          </w:tcPr>
          <w:p>
            <w:pPr>
              <w:spacing w:after="0"/>
            </w:pPr>
            <w:r>
              <w:rPr>
                <w:sz w:val="19"/>
              </w:rPr>
              <w:t>Quantitative impact metrics (80% faster scrutiny, &gt;94% OCR accuracy, 100% explainable APH citations), risk mitigation matrix, and strict compliance with AICTE statutory safeguards.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