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1.1 Captación del cliente: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Rule="auto"/>
        <w:jc w:val="both"/>
        <w:rPr>
          <w:b w:val="1"/>
          <w:bCs w:val="1"/>
        </w:rPr>
      </w:pPr>
      <w:r w:rsidDel="00000000" w:rsidR="00000000" w:rsidRPr="00000000">
        <w:rPr>
          <w:b w:val="1"/>
          <w:bCs w:val="1"/>
          <w:rtl w:val="0"/>
        </w:rPr>
        <w:t xml:space="preserve">Aplicación de Business Intelligence en un E-commerce</w:t>
      </w:r>
    </w:p>
    <w:p w:rsidR="00000000" w:rsidDel="00000000" w:rsidP="00000000" w:rsidRDefault="00000000" w:rsidRPr="00000000" w14:paraId="0000000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jc w:val="both"/>
        <w:rPr>
          <w:b w:val="1"/>
          <w:bCs w:val="1"/>
        </w:rPr>
      </w:pPr>
      <w:r w:rsidDel="00000000" w:rsidR="00000000" w:rsidRPr="00000000">
        <w:rPr>
          <w:b w:val="1"/>
          <w:bCs w:val="1"/>
          <w:rtl w:val="0"/>
        </w:rPr>
        <w:t xml:space="preserve">¿Por qué es vital el BI en un E-commerce?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Business Intelligence (BI) es el conjunto de procesos, tecnologías y metodologías orientadas a transformar datos sin procesar en información útil para la toma de decisiones. En el contexto de un e-commerce, donde se generan diariamente grandes volúmenes de datos, contar con esta capacidad analítica se convierte en un diferenciador competitivo esencial.</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La implementación de BI permite a una empresa de comercio electrónico recopilar, integrar, analizar y presentar su información de manera estructurada, brindando a los equipos directivos y operativos una base sólida para tomar decisiones estratégicas.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jc w:val="both"/>
        <w:rPr>
          <w:b w:val="1"/>
          <w:bCs w:val="1"/>
        </w:rPr>
      </w:pPr>
      <w:r w:rsidDel="00000000" w:rsidR="00000000" w:rsidRPr="00000000">
        <w:rPr>
          <w:b w:val="1"/>
          <w:bCs w:val="1"/>
          <w:rtl w:val="0"/>
        </w:rPr>
        <w:t xml:space="preserve">Herramientas de BI seleccionadas y su utilización</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Para implementar una estrategia de BI efectiva en el e-commerce, se propone el uso combinado de las siguientes herramientas, cada una orientada a una etapa específica del ciclo de vida del dato:</w:t>
      </w:r>
    </w:p>
    <w:p w:rsidR="00000000" w:rsidDel="00000000" w:rsidP="00000000" w:rsidRDefault="00000000" w:rsidRPr="00000000" w14:paraId="0000000A">
      <w:pPr>
        <w:spacing w:after="240" w:before="240" w:lineRule="auto"/>
        <w:jc w:val="both"/>
        <w:rPr/>
      </w:pPr>
      <w:r w:rsidDel="00000000" w:rsidR="00000000" w:rsidRPr="00000000">
        <w:rPr>
          <w:b w:val="1"/>
          <w:bCs w:val="1"/>
          <w:rtl w:val="0"/>
        </w:rPr>
        <w:t xml:space="preserve">Google Sheets</w:t>
      </w:r>
      <w:r w:rsidDel="00000000" w:rsidR="00000000" w:rsidRPr="00000000">
        <w:rPr>
          <w:rtl w:val="0"/>
        </w:rPr>
        <w:t xml:space="preserve"> cumplirá el rol de herramienta para la preparación, limpieza y procesamiento inicial de los datos. A través de funciones como </w:t>
      </w:r>
      <w:r w:rsidDel="00000000" w:rsidR="00000000" w:rsidRPr="00000000">
        <w:rPr>
          <w:rFonts w:ascii="Roboto Mono" w:cs="Roboto Mono" w:eastAsia="Roboto Mono" w:hAnsi="Roboto Mono"/>
          <w:color w:val="188038"/>
          <w:rtl w:val="0"/>
        </w:rPr>
        <w:t xml:space="preserve">IMPORTRANGE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BUSCARX</w:t>
      </w:r>
      <w:r w:rsidDel="00000000" w:rsidR="00000000" w:rsidRPr="00000000">
        <w:rPr>
          <w:rtl w:val="0"/>
        </w:rPr>
        <w:t xml:space="preserve">, se podrán consolidar fuentes de información dispersas en una única hoja de trabajo. Además, permite aplicar funciones estadísticas básicas para el análisis exploratorio y validar la calidad de los datos antes de su procesamiento avanzado.</w:t>
      </w:r>
    </w:p>
    <w:p w:rsidR="00000000" w:rsidDel="00000000" w:rsidP="00000000" w:rsidRDefault="00000000" w:rsidRPr="00000000" w14:paraId="0000000B">
      <w:pPr>
        <w:spacing w:after="240" w:before="240" w:lineRule="auto"/>
        <w:jc w:val="both"/>
        <w:rPr/>
      </w:pPr>
      <w:r w:rsidDel="00000000" w:rsidR="00000000" w:rsidRPr="00000000">
        <w:rPr>
          <w:b w:val="1"/>
          <w:bCs w:val="1"/>
          <w:rtl w:val="0"/>
        </w:rPr>
        <w:t xml:space="preserve">Tableau, Power BI o QlikView</w:t>
      </w:r>
      <w:r w:rsidDel="00000000" w:rsidR="00000000" w:rsidRPr="00000000">
        <w:rPr>
          <w:rtl w:val="0"/>
        </w:rPr>
        <w:t xml:space="preserve"> son herramientas de analítica avanzada que podrán ser empleadas para el análisis de mayor profundidad y escala. Resultan especialmente útiles cuando se requiere procesar grandes volúmenes de datos, construir modelos predictivos básicos o realizar cruces de variables complejos que excedan las capacidades de las hojas de cálculo tradicionales.</w:t>
      </w:r>
    </w:p>
    <w:p w:rsidR="00000000" w:rsidDel="00000000" w:rsidP="00000000" w:rsidRDefault="00000000" w:rsidRPr="00000000" w14:paraId="0000000C">
      <w:pPr>
        <w:spacing w:after="240" w:before="240" w:lineRule="auto"/>
        <w:jc w:val="both"/>
        <w:rPr>
          <w:b w:val="1"/>
          <w:bCs w:val="1"/>
        </w:rPr>
      </w:pPr>
      <w:r w:rsidDel="00000000" w:rsidR="00000000" w:rsidRPr="00000000">
        <w:rPr>
          <w:b w:val="1"/>
          <w:bCs w:val="1"/>
          <w:rtl w:val="0"/>
        </w:rPr>
        <w:t xml:space="preserve">Flujo de trabajo propuesto</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La implementación seguirá cuatro etapas secuenciales:</w:t>
      </w:r>
    </w:p>
    <w:p w:rsidR="00000000" w:rsidDel="00000000" w:rsidP="00000000" w:rsidRDefault="00000000" w:rsidRPr="00000000" w14:paraId="0000000E">
      <w:pPr>
        <w:numPr>
          <w:ilvl w:val="0"/>
          <w:numId w:val="3"/>
        </w:numPr>
        <w:spacing w:after="0" w:afterAutospacing="0" w:before="240" w:lineRule="auto"/>
        <w:ind w:left="720" w:hanging="360"/>
        <w:jc w:val="both"/>
      </w:pPr>
      <w:r w:rsidDel="00000000" w:rsidR="00000000" w:rsidRPr="00000000">
        <w:rPr>
          <w:b w:val="1"/>
          <w:bCs w:val="1"/>
          <w:rtl w:val="0"/>
        </w:rPr>
        <w:t xml:space="preserve">Recopilación:</w:t>
      </w:r>
      <w:r w:rsidDel="00000000" w:rsidR="00000000" w:rsidRPr="00000000">
        <w:rPr>
          <w:rtl w:val="0"/>
        </w:rPr>
        <w:t xml:space="preserve"> Extracción de datos internos (CRM, plataforma de ventas, sistema de inventario) y externos (tendencias de mercado, comportamiento en redes sociales, benchmarks del sector).</w:t>
      </w:r>
    </w:p>
    <w:p w:rsidR="00000000" w:rsidDel="00000000" w:rsidP="00000000" w:rsidRDefault="00000000" w:rsidRPr="00000000" w14:paraId="0000000F">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Integración — ETL:</w:t>
      </w:r>
      <w:r w:rsidDel="00000000" w:rsidR="00000000" w:rsidRPr="00000000">
        <w:rPr>
          <w:rtl w:val="0"/>
        </w:rPr>
        <w:t xml:space="preserve"> Los datos serán consolidados, limpiados y normalizados para garantizar su consistencia y confiabilidad antes del análisis. Esta etapa es crítica para evitar conclusiones basadas en información errónea o incompleta.</w:t>
      </w:r>
    </w:p>
    <w:p w:rsidR="00000000" w:rsidDel="00000000" w:rsidP="00000000" w:rsidRDefault="00000000" w:rsidRPr="00000000" w14:paraId="00000010">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Análisis:</w:t>
      </w:r>
      <w:r w:rsidDel="00000000" w:rsidR="00000000" w:rsidRPr="00000000">
        <w:rPr>
          <w:rtl w:val="0"/>
        </w:rPr>
        <w:t xml:space="preserve"> Exploración de los datos para detectar patrones de compra, correlaciones relevantes (como la relación entre inversión en marketing y volumen de ventas) y tendencias de comportamiento del cliente.</w:t>
      </w:r>
    </w:p>
    <w:p w:rsidR="00000000" w:rsidDel="00000000" w:rsidP="00000000" w:rsidRDefault="00000000" w:rsidRPr="00000000" w14:paraId="00000011">
      <w:pPr>
        <w:numPr>
          <w:ilvl w:val="0"/>
          <w:numId w:val="3"/>
        </w:numPr>
        <w:spacing w:after="240" w:before="0" w:beforeAutospacing="0" w:lineRule="auto"/>
        <w:ind w:left="720" w:hanging="360"/>
        <w:jc w:val="both"/>
      </w:pPr>
      <w:r w:rsidDel="00000000" w:rsidR="00000000" w:rsidRPr="00000000">
        <w:rPr>
          <w:b w:val="1"/>
          <w:bCs w:val="1"/>
          <w:rtl w:val="0"/>
        </w:rPr>
        <w:t xml:space="preserve">Presentación:</w:t>
      </w:r>
      <w:r w:rsidDel="00000000" w:rsidR="00000000" w:rsidRPr="00000000">
        <w:rPr>
          <w:rtl w:val="0"/>
        </w:rPr>
        <w:t xml:space="preserve"> Construcción de dashboards estratégicos y operativos que permitan a los responsables de tomar decisiones interpretar la información de forma visual, clara e intuitiva.</w:t>
      </w:r>
    </w:p>
    <w:p w:rsidR="00000000" w:rsidDel="00000000" w:rsidP="00000000" w:rsidRDefault="00000000" w:rsidRPr="00000000" w14:paraId="0000001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jc w:val="both"/>
        <w:rPr>
          <w:b w:val="1"/>
          <w:bCs w:val="1"/>
        </w:rPr>
      </w:pPr>
      <w:r w:rsidDel="00000000" w:rsidR="00000000" w:rsidRPr="00000000">
        <w:rPr>
          <w:b w:val="1"/>
          <w:bCs w:val="1"/>
          <w:rtl w:val="0"/>
        </w:rPr>
        <w:t xml:space="preserve">Beneficios estratégicos para el negocio</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La implementación de este ecosistema de BI aportará los siguientes beneficios concretos al e-commerce:</w:t>
      </w:r>
    </w:p>
    <w:p w:rsidR="00000000" w:rsidDel="00000000" w:rsidP="00000000" w:rsidRDefault="00000000" w:rsidRPr="00000000" w14:paraId="00000015">
      <w:pPr>
        <w:numPr>
          <w:ilvl w:val="0"/>
          <w:numId w:val="1"/>
        </w:numPr>
        <w:spacing w:after="0" w:afterAutospacing="0" w:before="240" w:lineRule="auto"/>
        <w:ind w:left="720" w:hanging="360"/>
        <w:jc w:val="both"/>
      </w:pPr>
      <w:r w:rsidDel="00000000" w:rsidR="00000000" w:rsidRPr="00000000">
        <w:rPr>
          <w:b w:val="1"/>
          <w:bCs w:val="1"/>
          <w:rtl w:val="0"/>
        </w:rPr>
        <w:t xml:space="preserve">Mayor capacidad de respuesta:</w:t>
      </w:r>
      <w:r w:rsidDel="00000000" w:rsidR="00000000" w:rsidRPr="00000000">
        <w:rPr>
          <w:rtl w:val="0"/>
        </w:rPr>
        <w:t xml:space="preserve"> El monitoreo en tiempo real permitirá detectar cambios en el comportamiento del mercado y reaccionar oportunamente, reduciendo el tiempo entre la identificación de un problema y su resolución.</w:t>
      </w:r>
    </w:p>
    <w:p w:rsidR="00000000" w:rsidDel="00000000" w:rsidP="00000000" w:rsidRDefault="00000000" w:rsidRPr="00000000" w14:paraId="00000016">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Identificación de oportunidades de crecimiento:</w:t>
      </w:r>
      <w:r w:rsidDel="00000000" w:rsidR="00000000" w:rsidRPr="00000000">
        <w:rPr>
          <w:rtl w:val="0"/>
        </w:rPr>
        <w:t xml:space="preserve"> El análisis del comportamiento y las preferencias del cliente habilitará la personalización de ofertas, el diseño de campañas más efectivas y la detección de segmentos con potencial de expansión.</w:t>
      </w:r>
    </w:p>
    <w:p w:rsidR="00000000" w:rsidDel="00000000" w:rsidP="00000000" w:rsidRDefault="00000000" w:rsidRPr="00000000" w14:paraId="00000017">
      <w:pPr>
        <w:numPr>
          <w:ilvl w:val="0"/>
          <w:numId w:val="1"/>
        </w:numPr>
        <w:spacing w:after="240" w:before="0" w:beforeAutospacing="0" w:lineRule="auto"/>
        <w:ind w:left="720" w:hanging="360"/>
        <w:jc w:val="both"/>
      </w:pPr>
      <w:r w:rsidDel="00000000" w:rsidR="00000000" w:rsidRPr="00000000">
        <w:rPr>
          <w:b w:val="1"/>
          <w:bCs w:val="1"/>
          <w:rtl w:val="0"/>
        </w:rPr>
        <w:t xml:space="preserve">Consolidación de una cultura basada en datos:</w:t>
      </w:r>
      <w:r w:rsidDel="00000000" w:rsidR="00000000" w:rsidRPr="00000000">
        <w:rPr>
          <w:rtl w:val="0"/>
        </w:rPr>
        <w:t xml:space="preserve"> Más allá de los beneficios técnicos, la adopción de BI promueve un cambio cultural en la organización: las decisiones dejan de sustentarse en la intuición para apoyarse en evidencia concreta, métricas claras y análisis reproducibles.</w:t>
      </w:r>
    </w:p>
    <w:p w:rsidR="00000000" w:rsidDel="00000000" w:rsidP="00000000" w:rsidRDefault="00000000" w:rsidRPr="00000000" w14:paraId="00000018">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jc w:val="both"/>
        <w:rPr>
          <w:b w:val="1"/>
          <w:bCs w:val="1"/>
        </w:rPr>
      </w:pPr>
      <w:r w:rsidDel="00000000" w:rsidR="00000000" w:rsidRPr="00000000">
        <w:rPr>
          <w:b w:val="1"/>
          <w:bCs w:val="1"/>
          <w:rtl w:val="0"/>
        </w:rPr>
        <w:t xml:space="preserve">1.2 Caso de Estudio: Violación de Ética en Datos en el Comercio Electrónico</w:t>
      </w:r>
      <w:r w:rsidDel="00000000" w:rsidR="00000000" w:rsidRPr="00000000">
        <w:rPr>
          <w:rtl w:val="0"/>
        </w:rPr>
        <w:t xml:space="preserve"> </w:t>
      </w:r>
      <w:r w:rsidDel="00000000" w:rsidR="00000000" w:rsidRPr="00000000">
        <w:rPr>
          <w:b w:val="1"/>
          <w:bCs w:val="1"/>
          <w:rtl w:val="0"/>
        </w:rPr>
        <w:t xml:space="preserve">Mercado Libre — Filtración de datos (marzo de 2022)</w:t>
      </w:r>
    </w:p>
    <w:p w:rsidR="00000000" w:rsidDel="00000000" w:rsidP="00000000" w:rsidRDefault="00000000" w:rsidRPr="00000000" w14:paraId="0000001A">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b w:val="1"/>
          <w:bCs w:val="1"/>
          <w:rtl w:val="0"/>
        </w:rPr>
        <w:t xml:space="preserve">Contexto</w:t>
      </w: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t xml:space="preserve">En marzo de 2022, Mercado Libre, confirmó públicamente que parte de su código fuente había sido objeto de acceso no autorizado, y que se habían comprometido datos personales de aproximadamente 300.000 usuarios. El ataque fue atribuido al grupo de ciberdelincuentes, el mismo responsable de ataques previos contra Samsung y Nvidia. El grupo publicó una encuesta en su canal de Telegram preguntando cuál sería su próxima víctima, y Mercado Libre apareció como una de las opciones. Pocas horas después de que la amenaza se viralizara, la empresa emitió un comunicado oficial confirmando la brecha.</w:t>
      </w:r>
    </w:p>
    <w:p w:rsidR="00000000" w:rsidDel="00000000" w:rsidP="00000000" w:rsidRDefault="00000000" w:rsidRPr="00000000" w14:paraId="0000001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jc w:val="both"/>
        <w:rPr>
          <w:b w:val="1"/>
          <w:bCs w:val="1"/>
        </w:rPr>
      </w:pPr>
      <w:r w:rsidDel="00000000" w:rsidR="00000000" w:rsidRPr="00000000">
        <w:rPr>
          <w:b w:val="1"/>
          <w:bCs w:val="1"/>
          <w:rtl w:val="0"/>
        </w:rPr>
        <w:t xml:space="preserve">2. Faltas éticas identificadas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Analizando el caso desde los principios éticos trabajados, se identifican las siguientes vulneraciones:</w:t>
      </w:r>
    </w:p>
    <w:p w:rsidR="00000000" w:rsidDel="00000000" w:rsidP="00000000" w:rsidRDefault="00000000" w:rsidRPr="00000000" w14:paraId="00000020">
      <w:pPr>
        <w:spacing w:after="240" w:before="240" w:lineRule="auto"/>
        <w:jc w:val="both"/>
        <w:rPr/>
      </w:pPr>
      <w:r w:rsidDel="00000000" w:rsidR="00000000" w:rsidRPr="00000000">
        <w:rPr>
          <w:b w:val="1"/>
          <w:bCs w:val="1"/>
          <w:rtl w:val="0"/>
        </w:rPr>
        <w:t xml:space="preserve">Falla en la protección de la privacidad y seguridad</w:t>
      </w:r>
      <w:r w:rsidDel="00000000" w:rsidR="00000000" w:rsidRPr="00000000">
        <w:rPr>
          <w:rtl w:val="0"/>
        </w:rPr>
        <w:t xml:space="preserve">, ya que, </w:t>
      </w:r>
      <w:r w:rsidDel="00000000" w:rsidR="00000000" w:rsidRPr="00000000">
        <w:rPr>
          <w:rtl w:val="0"/>
        </w:rPr>
        <w:t xml:space="preserve">las organizaciones deben implementar medidas que garanticen la seguridad de la información, protegiendo los datos contra accesos no autorizados y filtraciones y que esto implica no solo cumplir con las leyes vigentes, sino también "adoptar prácticas proactivas que garanticen el respeto por la privacidad". La brecha evidenció que los controles de acceso al código fuente y a los datos de usuarios no eran suficientemente robustos.</w:t>
      </w:r>
    </w:p>
    <w:p w:rsidR="00000000" w:rsidDel="00000000" w:rsidP="00000000" w:rsidRDefault="00000000" w:rsidRPr="00000000" w14:paraId="00000021">
      <w:pPr>
        <w:spacing w:after="240" w:before="240" w:lineRule="auto"/>
        <w:jc w:val="both"/>
        <w:rPr/>
      </w:pPr>
      <w:r w:rsidDel="00000000" w:rsidR="00000000" w:rsidRPr="00000000">
        <w:rPr>
          <w:b w:val="1"/>
          <w:bCs w:val="1"/>
          <w:rtl w:val="0"/>
        </w:rPr>
        <w:t xml:space="preserve">Falta de consentimiento informado y responsabilidad hacia el usuario</w:t>
      </w:r>
      <w:r w:rsidDel="00000000" w:rsidR="00000000" w:rsidRPr="00000000">
        <w:rPr>
          <w:rtl w:val="0"/>
        </w:rPr>
        <w:t xml:space="preserve">:</w:t>
      </w:r>
      <w:r w:rsidDel="00000000" w:rsidR="00000000" w:rsidRPr="00000000">
        <w:rPr>
          <w:rtl w:val="0"/>
        </w:rPr>
        <w:t xml:space="preserve"> las organizaciones tienen la obligación de ser transparentes en sus prácticas de manejo de datos. En este caso, los usuarios confiaron sus datos personales a la plataforma sin poder prever que serían expuestos por una falla de seguridad interna. La responsabilidad de custodiar esa información recaía en Mercado Libre.</w:t>
      </w:r>
    </w:p>
    <w:p w:rsidR="00000000" w:rsidDel="00000000" w:rsidP="00000000" w:rsidRDefault="00000000" w:rsidRPr="00000000" w14:paraId="00000022">
      <w:pPr>
        <w:spacing w:after="240" w:before="240" w:lineRule="auto"/>
        <w:jc w:val="both"/>
        <w:rPr/>
      </w:pPr>
      <w:r w:rsidDel="00000000" w:rsidR="00000000" w:rsidRPr="00000000">
        <w:rPr>
          <w:b w:val="1"/>
          <w:bCs w:val="1"/>
          <w:rtl w:val="0"/>
        </w:rPr>
        <w:t xml:space="preserve">Equidad y no discriminación como principio vulnerado indirectamente</w:t>
      </w:r>
      <w:r w:rsidDel="00000000" w:rsidR="00000000" w:rsidRPr="00000000">
        <w:rPr>
          <w:rtl w:val="0"/>
        </w:rPr>
        <w:t xml:space="preserve"> Si los datos filtrados llegaron a manos de terceros malintencionados, los usuarios afectados quedan expuestos a estafas, suplantación de identidad y otros perjuicios sin haber tenido ninguna participación ni posibilidad de protegerse.</w:t>
      </w:r>
    </w:p>
    <w:p w:rsidR="00000000" w:rsidDel="00000000" w:rsidP="00000000" w:rsidRDefault="00000000" w:rsidRPr="00000000" w14:paraId="00000023">
      <w:pPr>
        <w:spacing w:after="240" w:before="240" w:lineRule="auto"/>
        <w:jc w:val="both"/>
        <w:rPr/>
      </w:pPr>
      <w:r w:rsidDel="00000000" w:rsidR="00000000" w:rsidRPr="00000000">
        <w:rPr>
          <w:b w:val="1"/>
          <w:bCs w:val="1"/>
          <w:rtl w:val="0"/>
        </w:rPr>
        <w:t xml:space="preserve">Incumplimiento de las buenas prácticas de seguridad</w:t>
      </w:r>
      <w:r w:rsidDel="00000000" w:rsidR="00000000" w:rsidRPr="00000000">
        <w:rPr>
          <w:rtl w:val="0"/>
        </w:rPr>
        <w:t xml:space="preserve">:</w:t>
      </w:r>
      <w:r w:rsidDel="00000000" w:rsidR="00000000" w:rsidRPr="00000000">
        <w:rPr>
          <w:rtl w:val="0"/>
        </w:rPr>
        <w:t xml:space="preserve"> el uso de cifrado, la anonimización, la autenticación multifactor y las auditorías regulares de seguridad (necesarias para la protección de la información) no fueron correctamente establecidas y el debate que el caso generó sobre si las billeteras digitales como Mercado Pago contaban o no con un segundo factor de autenticación sugiere que estas prácticas no estaban completamente implementadas.</w:t>
      </w:r>
    </w:p>
    <w:p w:rsidR="00000000" w:rsidDel="00000000" w:rsidP="00000000" w:rsidRDefault="00000000" w:rsidRPr="00000000" w14:paraId="0000002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jc w:val="both"/>
        <w:rPr>
          <w:b w:val="1"/>
          <w:bCs w:val="1"/>
        </w:rPr>
      </w:pPr>
      <w:r w:rsidDel="00000000" w:rsidR="00000000" w:rsidRPr="00000000">
        <w:rPr>
          <w:b w:val="1"/>
          <w:bCs w:val="1"/>
          <w:rtl w:val="0"/>
        </w:rPr>
        <w:t xml:space="preserve">3. Consecuencias</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Los 300.000 usuarios afectados quedaron expuestos a riesgos concretos: intentos de phishing y estafas por parte de terceros que podrían hacerse pasar por Mercado Libre o Mercado Pago para obtener información adicional. La confianza en la plataforma para gestionar datos financieros y personales se vio dañada.</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Por otra parte, en el plano corporativo, La Dirección Nacional de Defensa de las y los Consumidores de Argentina intervino de oficio, advirtiendo que las empresas que proveen servicios deben garantizar la seguridad de sus operaciones. Se analizó la posible aplicación de sanciones en el marco de la Ley de Defensa del Consumidor. Adicionalmente, Mercado Libre cotiza en el Nasdaq, por lo que debió informar la brecha mediante un reporte formal (formulario 8-K), con impacto directo en su reputación corporativa e institucional.</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El caso abrió un debate más amplio sobre los estándares de seguridad de las plataformas fintech y de e-commerce en la región, y sobre la necesidad de regulaciones más estrictas en materia de protección de datos personales en América Latina.</w:t>
      </w:r>
    </w:p>
    <w:p w:rsidR="00000000" w:rsidDel="00000000" w:rsidP="00000000" w:rsidRDefault="00000000" w:rsidRPr="00000000" w14:paraId="00000029">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jc w:val="both"/>
        <w:rPr>
          <w:b w:val="1"/>
          <w:bCs w:val="1"/>
        </w:rPr>
      </w:pPr>
      <w:r w:rsidDel="00000000" w:rsidR="00000000" w:rsidRPr="00000000">
        <w:rPr>
          <w:b w:val="1"/>
          <w:bCs w:val="1"/>
          <w:rtl w:val="0"/>
        </w:rPr>
        <w:t xml:space="preserve">4. Lecciones aprendidas y errores a evitar</w:t>
      </w:r>
    </w:p>
    <w:p w:rsidR="00000000" w:rsidDel="00000000" w:rsidP="00000000" w:rsidRDefault="00000000" w:rsidRPr="00000000" w14:paraId="0000002B">
      <w:pPr>
        <w:spacing w:after="240" w:before="240" w:lineRule="auto"/>
        <w:jc w:val="both"/>
        <w:rPr/>
      </w:pPr>
      <w:r w:rsidDel="00000000" w:rsidR="00000000" w:rsidRPr="00000000">
        <w:rPr>
          <w:rtl w:val="0"/>
        </w:rPr>
      </w:r>
    </w:p>
    <w:p w:rsidR="00000000" w:rsidDel="00000000" w:rsidP="00000000" w:rsidRDefault="00000000" w:rsidRPr="00000000" w14:paraId="0000002C">
      <w:pPr>
        <w:spacing w:after="240" w:before="240" w:lineRule="auto"/>
        <w:jc w:val="both"/>
        <w:rPr/>
      </w:pPr>
      <w:r w:rsidDel="00000000" w:rsidR="00000000" w:rsidRPr="00000000">
        <w:rPr>
          <w:b w:val="1"/>
          <w:bCs w:val="1"/>
          <w:rtl w:val="0"/>
        </w:rPr>
        <w:t xml:space="preserve">Implementar controles de seguridad proporcionales al volumen de datos gestionados</w:t>
      </w:r>
      <w:r w:rsidDel="00000000" w:rsidR="00000000" w:rsidRPr="00000000">
        <w:rPr>
          <w:rtl w:val="0"/>
        </w:rPr>
        <w:t xml:space="preserve">: </w:t>
      </w:r>
      <w:r w:rsidDel="00000000" w:rsidR="00000000" w:rsidRPr="00000000">
        <w:rPr>
          <w:rtl w:val="0"/>
        </w:rPr>
        <w:t xml:space="preserve">las prácticas de seguridad deben incluir cifrado, autenticación multifactor, controles de acceso estrictos y auditorías regulares. Una plataforma que opera servicios financieros para millones de personas en toda América Latina tiene una responsabilidad especialmente elevada en este sentido. No alcanza con cumplir el mínimo legal: la ética exige ir más allá.</w:t>
      </w:r>
    </w:p>
    <w:p w:rsidR="00000000" w:rsidDel="00000000" w:rsidP="00000000" w:rsidRDefault="00000000" w:rsidRPr="00000000" w14:paraId="0000002D">
      <w:pPr>
        <w:spacing w:after="240" w:before="240" w:lineRule="auto"/>
        <w:jc w:val="both"/>
        <w:rPr/>
      </w:pPr>
      <w:r w:rsidDel="00000000" w:rsidR="00000000" w:rsidRPr="00000000">
        <w:rPr>
          <w:b w:val="1"/>
          <w:bCs w:val="1"/>
          <w:rtl w:val="0"/>
        </w:rPr>
        <w:t xml:space="preserve">Nunca subestimar el valor de los datos almacenados</w:t>
      </w:r>
      <w:r w:rsidDel="00000000" w:rsidR="00000000" w:rsidRPr="00000000">
        <w:rPr>
          <w:rtl w:val="0"/>
        </w:rPr>
        <w:t xml:space="preserve"> Esto significa que cualquier organización que acumule grandes volúmenes de datos personales está custodiando un activo de alto valor que puede ser objetivo de ataques. Esa responsabilidad debe ser gestionada activamente, no de forma reactiva.</w:t>
      </w:r>
    </w:p>
    <w:p w:rsidR="00000000" w:rsidDel="00000000" w:rsidP="00000000" w:rsidRDefault="00000000" w:rsidRPr="00000000" w14:paraId="0000002E">
      <w:pPr>
        <w:spacing w:after="240" w:before="240" w:lineRule="auto"/>
        <w:jc w:val="both"/>
        <w:rPr/>
      </w:pPr>
      <w:r w:rsidDel="00000000" w:rsidR="00000000" w:rsidRPr="00000000">
        <w:rPr>
          <w:b w:val="1"/>
          <w:bCs w:val="1"/>
          <w:rtl w:val="0"/>
        </w:rPr>
        <w:t xml:space="preserve">La formación continua del personal es la primera línea de defensa</w:t>
      </w:r>
      <w:r w:rsidDel="00000000" w:rsidR="00000000" w:rsidRPr="00000000">
        <w:rPr>
          <w:rtl w:val="0"/>
        </w:rPr>
        <w:t xml:space="preserve"> debido a que la mayoría de las brechas de seguridad son consecuencias de errores o desconocimiento humano. Por este motivo, la formación continua del personal en materia de seguridad es parte de la responsabilidad ética de cualquier organización que maneje información sensible.</w:t>
      </w:r>
    </w:p>
    <w:p w:rsidR="00000000" w:rsidDel="00000000" w:rsidP="00000000" w:rsidRDefault="00000000" w:rsidRPr="00000000" w14:paraId="0000002F">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jc w:val="both"/>
        <w:rPr>
          <w:b w:val="1"/>
          <w:bCs w:val="1"/>
        </w:rPr>
      </w:pPr>
      <w:r w:rsidDel="00000000" w:rsidR="00000000" w:rsidRPr="00000000">
        <w:rPr>
          <w:b w:val="1"/>
          <w:bCs w:val="1"/>
          <w:rtl w:val="0"/>
        </w:rPr>
        <w:t xml:space="preserve">Conclusión</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Este caso ilustra que la ética en el manejo de datos no es un tema abstracto o exclusivamente teórico: tiene consecuencias directas y concretas sobre personas reales. Desde la perspectiva de Business Intelligence, los datos son el insumo central de todo análisis y toma de decisiones. Si ese insumo no está protegido éticamente, todo el ecosistema de BI pierde su fundamento de confianza.</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33">
      <w:pPr>
        <w:spacing w:after="240" w:before="240" w:lineRule="auto"/>
        <w:jc w:val="both"/>
        <w:rPr>
          <w:b w:val="1"/>
          <w:bCs w:val="1"/>
        </w:rPr>
      </w:pPr>
      <w:r w:rsidDel="00000000" w:rsidR="00000000" w:rsidRPr="00000000">
        <w:rPr>
          <w:b w:val="1"/>
          <w:bCs w:val="1"/>
          <w:rtl w:val="0"/>
        </w:rPr>
        <w:t xml:space="preserve">1.3 Investigación: Exploración y Búsqueda de Fuentes de Datos Públicas para E-commerce</w:t>
      </w:r>
    </w:p>
    <w:p w:rsidR="00000000" w:rsidDel="00000000" w:rsidP="00000000" w:rsidRDefault="00000000" w:rsidRPr="00000000" w14:paraId="0000003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jc w:val="both"/>
        <w:rPr>
          <w:b w:val="1"/>
          <w:bCs w:val="1"/>
        </w:rPr>
      </w:pPr>
      <w:r w:rsidDel="00000000" w:rsidR="00000000" w:rsidRPr="00000000">
        <w:rPr>
          <w:b w:val="1"/>
          <w:bCs w:val="1"/>
          <w:rtl w:val="0"/>
        </w:rPr>
        <w:t xml:space="preserve">Introducción</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Entre las categorías de fuentes externas relevantes se encuentran los </w:t>
      </w:r>
      <w:r w:rsidDel="00000000" w:rsidR="00000000" w:rsidRPr="00000000">
        <w:rPr>
          <w:b w:val="1"/>
          <w:bCs w:val="1"/>
          <w:rtl w:val="0"/>
        </w:rPr>
        <w:t xml:space="preserve">datos gubernamentales</w:t>
      </w:r>
      <w:r w:rsidDel="00000000" w:rsidR="00000000" w:rsidRPr="00000000">
        <w:rPr>
          <w:rtl w:val="0"/>
        </w:rPr>
        <w:t xml:space="preserve">, los </w:t>
      </w:r>
      <w:r w:rsidDel="00000000" w:rsidR="00000000" w:rsidRPr="00000000">
        <w:rPr>
          <w:b w:val="1"/>
          <w:bCs w:val="1"/>
          <w:rtl w:val="0"/>
        </w:rPr>
        <w:t xml:space="preserve">datos del mercado</w:t>
      </w:r>
      <w:r w:rsidDel="00000000" w:rsidR="00000000" w:rsidRPr="00000000">
        <w:rPr>
          <w:rtl w:val="0"/>
        </w:rPr>
        <w:t xml:space="preserve"> y las </w:t>
      </w:r>
      <w:r w:rsidDel="00000000" w:rsidR="00000000" w:rsidRPr="00000000">
        <w:rPr>
          <w:b w:val="1"/>
          <w:bCs w:val="1"/>
          <w:rtl w:val="0"/>
        </w:rPr>
        <w:t xml:space="preserve">redes sociales y opiniones en línea</w:t>
      </w:r>
      <w:r w:rsidDel="00000000" w:rsidR="00000000" w:rsidRPr="00000000">
        <w:rPr>
          <w:rtl w:val="0"/>
        </w:rPr>
        <w:t xml:space="preserve">.</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Identificar fuentes públicas confiables es un paso previo fundamental antes de cualquier análisis de BI, ya que la calidad del análisis depende directamente de la calidad y relevancia de los datos utilizados. En este caso, analizaremos las fuentes del INDEC, CACE y STATISTA</w:t>
      </w:r>
    </w:p>
    <w:p w:rsidR="00000000" w:rsidDel="00000000" w:rsidP="00000000" w:rsidRDefault="00000000" w:rsidRPr="00000000" w14:paraId="00000038">
      <w:pPr>
        <w:spacing w:after="240" w:before="240" w:lineRule="auto"/>
        <w:jc w:val="both"/>
        <w:rPr/>
      </w:pPr>
      <w:r w:rsidDel="00000000" w:rsidR="00000000" w:rsidRPr="00000000">
        <w:rPr>
          <w:rtl w:val="0"/>
        </w:rPr>
      </w:r>
    </w:p>
    <w:p w:rsidR="00000000" w:rsidDel="00000000" w:rsidP="00000000" w:rsidRDefault="00000000" w:rsidRPr="00000000" w14:paraId="00000039">
      <w:pPr>
        <w:spacing w:after="240" w:before="240" w:lineRule="auto"/>
        <w:jc w:val="both"/>
        <w:rPr>
          <w:b w:val="1"/>
          <w:bCs w:val="1"/>
        </w:rPr>
      </w:pPr>
      <w:r w:rsidDel="00000000" w:rsidR="00000000" w:rsidRPr="00000000">
        <w:rPr>
          <w:b w:val="1"/>
          <w:bCs w:val="1"/>
          <w:rtl w:val="0"/>
        </w:rPr>
        <w:t xml:space="preserve">Tabla de fuentes públicas identificadas</w:t>
      </w:r>
    </w:p>
    <w:p w:rsidR="00000000" w:rsidDel="00000000" w:rsidP="00000000" w:rsidRDefault="00000000" w:rsidRPr="00000000" w14:paraId="0000003A">
      <w:pPr>
        <w:spacing w:after="240" w:before="240" w:lineRule="auto"/>
        <w:jc w:val="both"/>
        <w:rPr/>
      </w:pPr>
      <w:r w:rsidDel="00000000" w:rsidR="00000000" w:rsidRPr="00000000">
        <w:rPr>
          <w:rtl w:val="0"/>
        </w:rPr>
      </w:r>
    </w:p>
    <w:tbl>
      <w:tblPr>
        <w:tblStyle w:val="Table1"/>
        <w:tblW w:w="9029.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fd966" w:val="clear"/>
              </w:rPr>
            </w:pP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Fuente 1</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 Fuente 2</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 Fuente 3</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INDEC (Insittuto Nacional de Estadísticas y censos)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CACE (Cámara Argentina de comercio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Statista (plataforma internacional de datos y estadísticas) </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Tipo de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Secundarias: Datos gubernamentales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Secundaria: datos del mercado sectorial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Secundaria: datos del mercado e informes de investigación</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Enlace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hyperlink r:id="rId6">
              <w:r w:rsidDel="00000000" w:rsidR="00000000" w:rsidRPr="00000000">
                <w:rPr>
                  <w:color w:val="1155cc"/>
                  <w:u w:val="single"/>
                  <w:rtl w:val="0"/>
                </w:rPr>
                <w:t xml:space="preserve">www.indec.gob.ar</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hyperlink r:id="rId7">
              <w:r w:rsidDel="00000000" w:rsidR="00000000" w:rsidRPr="00000000">
                <w:rPr>
                  <w:color w:val="1155cc"/>
                  <w:u w:val="single"/>
                  <w:rtl w:val="0"/>
                </w:rPr>
                <w:t xml:space="preserve">www.cace.org.ar</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hyperlink r:id="rId8">
              <w:r w:rsidDel="00000000" w:rsidR="00000000" w:rsidRPr="00000000">
                <w:rPr>
                  <w:color w:val="1155cc"/>
                  <w:u w:val="single"/>
                  <w:rtl w:val="0"/>
                </w:rPr>
                <w:t xml:space="preserve">www.statista.com</w:t>
              </w:r>
            </w:hyperlink>
            <w:r w:rsidDel="00000000" w:rsidR="00000000" w:rsidRPr="00000000">
              <w:rPr>
                <w:rtl w:val="0"/>
              </w:rPr>
              <w:t xml:space="preserve"> </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Tipo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Estadísticas de comercio, acceso a tecnología, uso de internet por hogares, datos socioeconómicos y demográficos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Facturación anual del e-commerce argentino, categorías más vendidas, medios de pago, comportamiento del consumidor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Estadísticas globales y regionales de e-commerce, ventas online, penetración de mercado, comparativas por país </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Potencial de análisis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Perfil del consumidor digital argentino, correlación entre ingresos y hábitos de compra online, segmentación geográfica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Tendencias del mercado local, categorías con mayor crecimiento, medios de pago preferidos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Benchmarking internacional, comparación con otros mercados de la región, proyecciones de crecimiento </w:t>
            </w:r>
          </w:p>
        </w:tc>
      </w:tr>
    </w:tbl>
    <w:p w:rsidR="00000000" w:rsidDel="00000000" w:rsidP="00000000" w:rsidRDefault="00000000" w:rsidRPr="00000000" w14:paraId="00000053">
      <w:pPr>
        <w:spacing w:after="240" w:before="240" w:lineRule="auto"/>
        <w:jc w:val="both"/>
        <w:rPr/>
      </w:pPr>
      <w:r w:rsidDel="00000000" w:rsidR="00000000" w:rsidRPr="00000000">
        <w:rPr>
          <w:rtl w:val="0"/>
        </w:rPr>
      </w:r>
    </w:p>
    <w:p w:rsidR="00000000" w:rsidDel="00000000" w:rsidP="00000000" w:rsidRDefault="00000000" w:rsidRPr="00000000" w14:paraId="00000054">
      <w:pPr>
        <w:spacing w:after="240" w:before="240" w:lineRule="auto"/>
        <w:jc w:val="both"/>
        <w:rPr/>
      </w:pPr>
      <w:r w:rsidDel="00000000" w:rsidR="00000000" w:rsidRPr="00000000">
        <w:rPr>
          <w:rtl w:val="0"/>
        </w:rPr>
        <w:t xml:space="preserve">Las </w:t>
      </w:r>
      <w:r w:rsidDel="00000000" w:rsidR="00000000" w:rsidRPr="00000000">
        <w:rPr>
          <w:rtl w:val="0"/>
        </w:rPr>
        <w:t xml:space="preserve">tres fuentes identificadas corresponden a </w:t>
      </w:r>
      <w:r w:rsidDel="00000000" w:rsidR="00000000" w:rsidRPr="00000000">
        <w:rPr>
          <w:b w:val="1"/>
          <w:bCs w:val="1"/>
          <w:rtl w:val="0"/>
        </w:rPr>
        <w:t xml:space="preserve">fuentes secundarias de datos</w:t>
      </w:r>
      <w:r w:rsidDel="00000000" w:rsidR="00000000" w:rsidRPr="00000000">
        <w:rPr>
          <w:rtl w:val="0"/>
        </w:rPr>
        <w:t xml:space="preserve">, definidas como aquellas que </w:t>
      </w:r>
      <w:r w:rsidDel="00000000" w:rsidR="00000000" w:rsidRPr="00000000">
        <w:rPr>
          <w:i w:val="1"/>
          <w:iCs w:val="1"/>
          <w:rtl w:val="0"/>
        </w:rPr>
        <w:t xml:space="preserve">"consisten en datos que han sido recopilados, procesados y analizados por otros"</w:t>
      </w:r>
      <w:r w:rsidDel="00000000" w:rsidR="00000000" w:rsidRPr="00000000">
        <w:rPr>
          <w:rtl w:val="0"/>
        </w:rPr>
        <w:t xml:space="preserve"> y que </w:t>
      </w:r>
      <w:r w:rsidDel="00000000" w:rsidR="00000000" w:rsidRPr="00000000">
        <w:rPr>
          <w:i w:val="1"/>
          <w:iCs w:val="1"/>
          <w:rtl w:val="0"/>
        </w:rPr>
        <w:t xml:space="preserve">"pueden ser útiles para complementar la información obtenida de fuentes primarias"</w:t>
      </w:r>
      <w:r w:rsidDel="00000000" w:rsidR="00000000" w:rsidRPr="00000000">
        <w:rPr>
          <w:rtl w:val="0"/>
        </w:rPr>
        <w:t xml:space="preserve">.</w:t>
      </w:r>
    </w:p>
    <w:p w:rsidR="00000000" w:rsidDel="00000000" w:rsidP="00000000" w:rsidRDefault="00000000" w:rsidRPr="00000000" w14:paraId="00000055">
      <w:pPr>
        <w:numPr>
          <w:ilvl w:val="0"/>
          <w:numId w:val="2"/>
        </w:numPr>
        <w:spacing w:after="0" w:afterAutospacing="0" w:before="240" w:lineRule="auto"/>
        <w:ind w:left="720" w:hanging="360"/>
        <w:jc w:val="both"/>
      </w:pPr>
      <w:r w:rsidDel="00000000" w:rsidR="00000000" w:rsidRPr="00000000">
        <w:rPr>
          <w:rtl w:val="0"/>
        </w:rPr>
        <w:t xml:space="preserve">El </w:t>
      </w:r>
      <w:r w:rsidDel="00000000" w:rsidR="00000000" w:rsidRPr="00000000">
        <w:rPr>
          <w:b w:val="1"/>
          <w:bCs w:val="1"/>
          <w:rtl w:val="0"/>
        </w:rPr>
        <w:t xml:space="preserve">INDEC</w:t>
      </w:r>
      <w:r w:rsidDel="00000000" w:rsidR="00000000" w:rsidRPr="00000000">
        <w:rPr>
          <w:rtl w:val="0"/>
        </w:rPr>
        <w:t xml:space="preserve"> corresponde a la categoría de </w:t>
      </w:r>
      <w:r w:rsidDel="00000000" w:rsidR="00000000" w:rsidRPr="00000000">
        <w:rPr>
          <w:b w:val="1"/>
          <w:bCs w:val="1"/>
          <w:rtl w:val="0"/>
        </w:rPr>
        <w:t xml:space="preserve">bases de datos públicas</w:t>
      </w:r>
      <w:r w:rsidDel="00000000" w:rsidR="00000000" w:rsidRPr="00000000">
        <w:rPr>
          <w:rtl w:val="0"/>
        </w:rPr>
        <w:t xml:space="preserve">, descriptas en la como fuentes utilizadas </w:t>
      </w:r>
      <w:r w:rsidDel="00000000" w:rsidR="00000000" w:rsidRPr="00000000">
        <w:rPr>
          <w:i w:val="1"/>
          <w:iCs w:val="1"/>
          <w:rtl w:val="0"/>
        </w:rPr>
        <w:t xml:space="preserve">"para investigaciones demográficas, análisis económicos y sociales"</w:t>
      </w:r>
      <w:r w:rsidDel="00000000" w:rsidR="00000000" w:rsidRPr="00000000">
        <w:rPr>
          <w:rtl w:val="0"/>
        </w:rPr>
        <w:t xml:space="preserve">.</w:t>
      </w:r>
    </w:p>
    <w:p w:rsidR="00000000" w:rsidDel="00000000" w:rsidP="00000000" w:rsidRDefault="00000000" w:rsidRPr="00000000" w14:paraId="00000056">
      <w:pPr>
        <w:numPr>
          <w:ilvl w:val="0"/>
          <w:numId w:val="2"/>
        </w:numPr>
        <w:spacing w:after="0" w:afterAutospacing="0" w:before="0" w:beforeAutospacing="0" w:lineRule="auto"/>
        <w:ind w:left="720" w:hanging="360"/>
        <w:jc w:val="both"/>
      </w:pPr>
      <w:r w:rsidDel="00000000" w:rsidR="00000000" w:rsidRPr="00000000">
        <w:rPr>
          <w:rtl w:val="0"/>
        </w:rPr>
        <w:t xml:space="preserve">La </w:t>
      </w:r>
      <w:r w:rsidDel="00000000" w:rsidR="00000000" w:rsidRPr="00000000">
        <w:rPr>
          <w:b w:val="1"/>
          <w:bCs w:val="1"/>
          <w:rtl w:val="0"/>
        </w:rPr>
        <w:t xml:space="preserve">CACE</w:t>
      </w:r>
      <w:r w:rsidDel="00000000" w:rsidR="00000000" w:rsidRPr="00000000">
        <w:rPr>
          <w:rtl w:val="0"/>
        </w:rPr>
        <w:t xml:space="preserve"> corresponde a la categoría de </w:t>
      </w:r>
      <w:r w:rsidDel="00000000" w:rsidR="00000000" w:rsidRPr="00000000">
        <w:rPr>
          <w:b w:val="1"/>
          <w:bCs w:val="1"/>
          <w:rtl w:val="0"/>
        </w:rPr>
        <w:t xml:space="preserve">informes de investigación</w:t>
      </w:r>
      <w:r w:rsidDel="00000000" w:rsidR="00000000" w:rsidRPr="00000000">
        <w:rPr>
          <w:rtl w:val="0"/>
        </w:rPr>
        <w:t xml:space="preserve">, definidos como estudios útiles para </w:t>
      </w:r>
      <w:r w:rsidDel="00000000" w:rsidR="00000000" w:rsidRPr="00000000">
        <w:rPr>
          <w:i w:val="1"/>
          <w:iCs w:val="1"/>
          <w:rtl w:val="0"/>
        </w:rPr>
        <w:t xml:space="preserve">"presentar revisiones de literatura, análisis de mercado y estudios de caso"</w:t>
      </w:r>
      <w:r w:rsidDel="00000000" w:rsidR="00000000" w:rsidRPr="00000000">
        <w:rPr>
          <w:rtl w:val="0"/>
        </w:rPr>
        <w:t xml:space="preserve">, valiosos para empresas que buscan nuevas oportunidades de negocio.</w:t>
      </w:r>
    </w:p>
    <w:p w:rsidR="00000000" w:rsidDel="00000000" w:rsidP="00000000" w:rsidRDefault="00000000" w:rsidRPr="00000000" w14:paraId="00000057">
      <w:pPr>
        <w:numPr>
          <w:ilvl w:val="0"/>
          <w:numId w:val="2"/>
        </w:numPr>
        <w:spacing w:after="240" w:before="0" w:beforeAutospacing="0" w:lineRule="auto"/>
        <w:ind w:left="720" w:hanging="360"/>
        <w:jc w:val="both"/>
      </w:pPr>
      <w:r w:rsidDel="00000000" w:rsidR="00000000" w:rsidRPr="00000000">
        <w:rPr>
          <w:b w:val="1"/>
          <w:bCs w:val="1"/>
          <w:rtl w:val="0"/>
        </w:rPr>
        <w:t xml:space="preserve">Statista</w:t>
      </w:r>
      <w:r w:rsidDel="00000000" w:rsidR="00000000" w:rsidRPr="00000000">
        <w:rPr>
          <w:rtl w:val="0"/>
        </w:rPr>
        <w:t xml:space="preserve"> corresponde también a la categoría de </w:t>
      </w:r>
      <w:r w:rsidDel="00000000" w:rsidR="00000000" w:rsidRPr="00000000">
        <w:rPr>
          <w:b w:val="1"/>
          <w:bCs w:val="1"/>
          <w:rtl w:val="0"/>
        </w:rPr>
        <w:t xml:space="preserve">datos del mercado</w:t>
      </w:r>
      <w:r w:rsidDel="00000000" w:rsidR="00000000" w:rsidRPr="00000000">
        <w:rPr>
          <w:rtl w:val="0"/>
        </w:rPr>
        <w:t xml:space="preserve">, que </w:t>
      </w:r>
      <w:r w:rsidDel="00000000" w:rsidR="00000000" w:rsidRPr="00000000">
        <w:rPr>
          <w:i w:val="1"/>
          <w:iCs w:val="1"/>
          <w:rtl w:val="0"/>
        </w:rPr>
        <w:t xml:space="preserve">"proporcionan información sobre las tendencias del sector, el comportamiento del consumidor y el posicionamiento de la competencia"</w:t>
      </w:r>
      <w:r w:rsidDel="00000000" w:rsidR="00000000" w:rsidRPr="00000000">
        <w:rPr>
          <w:rtl w:val="0"/>
        </w:rPr>
        <w:t xml:space="preserve">, útiles para desarrollar estrategias de marketing y ventas.</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La combinación de estas tres fuentes permite obtener </w:t>
      </w:r>
      <w:r w:rsidDel="00000000" w:rsidR="00000000" w:rsidRPr="00000000">
        <w:rPr>
          <w:i w:val="1"/>
          <w:iCs w:val="1"/>
          <w:rtl w:val="0"/>
        </w:rPr>
        <w:t xml:space="preserve">"una visión más completa y precisa del mercado"</w:t>
      </w:r>
      <w:r w:rsidDel="00000000" w:rsidR="00000000" w:rsidRPr="00000000">
        <w:rPr>
          <w:rtl w:val="0"/>
        </w:rPr>
        <w:t xml:space="preserve">, combinando el contexto nacional (INDEC), el análisis sectorial específico (CACE) y la perspectiva internacional comparada (Statista).</w:t>
      </w:r>
    </w:p>
    <w:p w:rsidR="00000000" w:rsidDel="00000000" w:rsidP="00000000" w:rsidRDefault="00000000" w:rsidRPr="00000000" w14:paraId="00000059">
      <w:pPr>
        <w:spacing w:after="240" w:before="240" w:lineRule="auto"/>
        <w:jc w:val="both"/>
        <w:rPr/>
      </w:pPr>
      <w:r w:rsidDel="00000000" w:rsidR="00000000" w:rsidRPr="00000000">
        <w:rPr>
          <w:rtl w:val="0"/>
        </w:rPr>
      </w:r>
    </w:p>
    <w:p w:rsidR="00000000" w:rsidDel="00000000" w:rsidP="00000000" w:rsidRDefault="00000000" w:rsidRPr="00000000" w14:paraId="0000005A">
      <w:pPr>
        <w:spacing w:after="240" w:before="240" w:lineRule="auto"/>
        <w:jc w:val="both"/>
        <w:rPr>
          <w:b w:val="1"/>
          <w:bCs w:val="1"/>
        </w:rPr>
      </w:pPr>
      <w:r w:rsidDel="00000000" w:rsidR="00000000" w:rsidRPr="00000000">
        <w:rPr>
          <w:b w:val="1"/>
          <w:bCs w:val="1"/>
          <w:rtl w:val="0"/>
        </w:rPr>
        <w:t xml:space="preserve">1.4 Obtención y análisis de datos</w:t>
      </w:r>
    </w:p>
    <w:p w:rsidR="00000000" w:rsidDel="00000000" w:rsidP="00000000" w:rsidRDefault="00000000" w:rsidRPr="00000000" w14:paraId="0000005B">
      <w:pPr>
        <w:spacing w:after="240" w:before="240" w:lineRule="auto"/>
        <w:jc w:val="both"/>
        <w:rPr>
          <w:b w:val="1"/>
          <w:bCs w:val="1"/>
        </w:rPr>
      </w:pPr>
      <w:r w:rsidDel="00000000" w:rsidR="00000000" w:rsidRPr="00000000">
        <w:rPr>
          <w:b w:val="1"/>
          <w:bCs w:val="1"/>
          <w:rtl w:val="0"/>
        </w:rPr>
        <w:t xml:space="preserve">Tabla Ventas</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Se encuentran 29 registros duplicados:</w:t>
      </w:r>
    </w:p>
    <w:p w:rsidR="00000000" w:rsidDel="00000000" w:rsidP="00000000" w:rsidRDefault="00000000" w:rsidRPr="00000000" w14:paraId="0000005D">
      <w:pPr>
        <w:spacing w:after="240" w:before="240" w:lineRule="auto"/>
        <w:jc w:val="both"/>
        <w:rPr/>
      </w:pPr>
      <w:r w:rsidDel="00000000" w:rsidR="00000000" w:rsidRPr="00000000">
        <w:rPr/>
        <w:drawing>
          <wp:inline distB="114300" distT="114300" distL="114300" distR="114300">
            <wp:extent cx="2395538" cy="364807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95538"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both"/>
        <w:rPr>
          <w:b w:val="1"/>
          <w:bCs w:val="1"/>
        </w:rPr>
      </w:pPr>
      <w:r w:rsidDel="00000000" w:rsidR="00000000" w:rsidRPr="00000000">
        <w:rPr>
          <w:b w:val="1"/>
          <w:bCs w:val="1"/>
          <w:rtl w:val="0"/>
        </w:rPr>
        <w:t xml:space="preserve">-Por otra parte, se observaron que los datos de las fechas se observan distintos formatos: </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Por ejemplo: dd/mm/aaaa,  d/mm/aaaa o d/m/aaaa</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-La columna Método de pago se debería llamar ID_metodo_pago</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 Se encuentran diferencias entre las tablas de ventas pdf y el archivo csv analizado.</w:t>
      </w:r>
    </w:p>
    <w:p w:rsidR="00000000" w:rsidDel="00000000" w:rsidP="00000000" w:rsidRDefault="00000000" w:rsidRPr="00000000" w14:paraId="00000062">
      <w:pPr>
        <w:spacing w:after="240" w:before="240" w:lineRule="auto"/>
        <w:jc w:val="both"/>
        <w:rPr>
          <w:b w:val="1"/>
          <w:bCs w:val="1"/>
        </w:rPr>
      </w:pPr>
      <w:r w:rsidDel="00000000" w:rsidR="00000000" w:rsidRPr="00000000">
        <w:rPr>
          <w:b w:val="1"/>
          <w:bCs w:val="1"/>
          <w:rtl w:val="0"/>
        </w:rPr>
        <w:t xml:space="preserve">2.1 Limpieza y preparación de datos:</w:t>
      </w:r>
    </w:p>
    <w:p w:rsidR="00000000" w:rsidDel="00000000" w:rsidP="00000000" w:rsidRDefault="00000000" w:rsidRPr="00000000" w14:paraId="00000063">
      <w:pPr>
        <w:spacing w:after="240" w:before="240" w:lineRule="auto"/>
        <w:jc w:val="both"/>
        <w:rPr/>
      </w:pPr>
      <w:r w:rsidDel="00000000" w:rsidR="00000000" w:rsidRPr="00000000">
        <w:rPr>
          <w:rtl w:val="0"/>
        </w:rPr>
      </w:r>
    </w:p>
    <w:p w:rsidR="00000000" w:rsidDel="00000000" w:rsidP="00000000" w:rsidRDefault="00000000" w:rsidRPr="00000000" w14:paraId="00000064">
      <w:pPr>
        <w:spacing w:after="240" w:before="240" w:lineRule="auto"/>
        <w:jc w:val="both"/>
        <w:rPr/>
      </w:pPr>
      <w:r w:rsidDel="00000000" w:rsidR="00000000" w:rsidRPr="00000000">
        <w:rPr>
          <w:rFonts w:ascii="Arial Unicode MS" w:cs="Arial Unicode MS" w:eastAsia="Arial Unicode MS" w:hAnsi="Arial Unicode MS"/>
          <w:rtl w:val="0"/>
        </w:rPr>
        <w:t xml:space="preserve">Se modificó el formato de las fechas utilizando la función editar tipo de columna → fecha</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Se verificó si existen espacios en blanco dentro del conjunto de datos a través de la función “recortar espacios en blanco” y se eliminaron duplicados mediante la función “limpieza de datos” y Se modificó el nombre de la columna Método_pago por ID_metodo_pago en la pestaña 2.1</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Se normalizaron los datos numéricos como números y los strings (Columna Estado) como texto y se ordenaron los ID_Ventas de menor a mayor.</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De la tabla clientes se cambió el nombre de la columna Fecha registro, ya que estaba mal escrita, También se modificaron los datos numéricos como tales y los strings como texto.</w:t>
      </w:r>
    </w:p>
    <w:p w:rsidR="00000000" w:rsidDel="00000000" w:rsidP="00000000" w:rsidRDefault="00000000" w:rsidRPr="00000000" w14:paraId="00000068">
      <w:pPr>
        <w:spacing w:after="240" w:before="240" w:lineRule="auto"/>
        <w:jc w:val="both"/>
        <w:rPr>
          <w:b w:val="1"/>
          <w:bCs w:val="1"/>
        </w:rPr>
      </w:pPr>
      <w:r w:rsidDel="00000000" w:rsidR="00000000" w:rsidRPr="00000000">
        <w:rPr>
          <w:b w:val="1"/>
          <w:bCs w:val="1"/>
          <w:rtl w:val="0"/>
        </w:rPr>
        <w:t xml:space="preserve">2.2 </w:t>
        <w:tab/>
        <w:t xml:space="preserve">Integración de los conjuntos de datos:</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Se utilizaron funciones como BUSCARV para crear nuevas columnas a partir de los ID de cada tabla. De esta manera creamos las columnas: Total_ventas, Regiones y Metodos_pago_texto. </w:t>
      </w:r>
    </w:p>
    <w:p w:rsidR="00000000" w:rsidDel="00000000" w:rsidP="00000000" w:rsidRDefault="00000000" w:rsidRPr="00000000" w14:paraId="0000006A">
      <w:pPr>
        <w:spacing w:after="240" w:before="240" w:lineRule="auto"/>
        <w:jc w:val="both"/>
        <w:rPr/>
      </w:pPr>
      <w:r w:rsidDel="00000000" w:rsidR="00000000" w:rsidRPr="00000000">
        <w:rPr>
          <w:rtl w:val="0"/>
        </w:rPr>
      </w:r>
    </w:p>
    <w:p w:rsidR="00000000" w:rsidDel="00000000" w:rsidP="00000000" w:rsidRDefault="00000000" w:rsidRPr="00000000" w14:paraId="0000006B">
      <w:pPr>
        <w:spacing w:after="240" w:before="240" w:lineRule="auto"/>
        <w:jc w:val="both"/>
        <w:rPr/>
      </w:pPr>
      <w:r w:rsidDel="00000000" w:rsidR="00000000" w:rsidRPr="00000000">
        <w:rPr>
          <w:rtl w:val="0"/>
        </w:rPr>
      </w:r>
    </w:p>
    <w:p w:rsidR="00000000" w:rsidDel="00000000" w:rsidP="00000000" w:rsidRDefault="00000000" w:rsidRPr="00000000" w14:paraId="0000006C">
      <w:pPr>
        <w:spacing w:after="240" w:before="240" w:lineRule="auto"/>
        <w:jc w:val="both"/>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www.indec.gob.ar" TargetMode="External"/><Relationship Id="rId7" Type="http://schemas.openxmlformats.org/officeDocument/2006/relationships/hyperlink" Target="http://www.cace.org.ar" TargetMode="External"/><Relationship Id="rId8" Type="http://schemas.openxmlformats.org/officeDocument/2006/relationships/hyperlink" Target="http://www.statist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