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99CE3C" w14:textId="77777777" w:rsidR="005C2736" w:rsidRDefault="00000000" w:rsidP="008B1AFB">
      <w:pPr>
        <w:jc w:val="both"/>
        <w:rPr>
          <w:b/>
          <w:bCs/>
        </w:rPr>
      </w:pPr>
      <w:r>
        <w:rPr>
          <w:b/>
          <w:bCs/>
        </w:rPr>
        <w:t>1.1 Captación del cliente:</w:t>
      </w:r>
    </w:p>
    <w:p w14:paraId="4389C444" w14:textId="77777777" w:rsidR="005C2736" w:rsidRDefault="005C2736" w:rsidP="008B1AFB">
      <w:pPr>
        <w:jc w:val="both"/>
      </w:pPr>
    </w:p>
    <w:p w14:paraId="173B30D5" w14:textId="77777777" w:rsidR="005C2736" w:rsidRDefault="00000000" w:rsidP="008B1AFB">
      <w:pPr>
        <w:spacing w:before="240" w:after="240"/>
        <w:jc w:val="both"/>
        <w:rPr>
          <w:b/>
          <w:bCs/>
        </w:rPr>
      </w:pPr>
      <w:r>
        <w:rPr>
          <w:b/>
          <w:bCs/>
        </w:rPr>
        <w:t xml:space="preserve">Aplicación de </w:t>
      </w:r>
      <w:proofErr w:type="gramStart"/>
      <w:r>
        <w:rPr>
          <w:b/>
          <w:bCs/>
        </w:rPr>
        <w:t xml:space="preserve">Business </w:t>
      </w:r>
      <w:proofErr w:type="spellStart"/>
      <w:r>
        <w:rPr>
          <w:b/>
          <w:bCs/>
        </w:rPr>
        <w:t>Intelligence</w:t>
      </w:r>
      <w:proofErr w:type="spellEnd"/>
      <w:proofErr w:type="gramEnd"/>
      <w:r>
        <w:rPr>
          <w:b/>
          <w:bCs/>
        </w:rPr>
        <w:t xml:space="preserve"> en un E-</w:t>
      </w:r>
      <w:proofErr w:type="spellStart"/>
      <w:r>
        <w:rPr>
          <w:b/>
          <w:bCs/>
        </w:rPr>
        <w:t>commerce</w:t>
      </w:r>
      <w:proofErr w:type="spellEnd"/>
    </w:p>
    <w:p w14:paraId="54CD23D5" w14:textId="77777777" w:rsidR="005C2736" w:rsidRDefault="00000000" w:rsidP="008B1AFB">
      <w:pPr>
        <w:jc w:val="both"/>
      </w:pPr>
      <w:r>
        <w:pict w14:anchorId="0BDF0D79">
          <v:rect id="_x0000_i1025" style="width:0;height:1.5pt" o:hralign="center" o:hrstd="t" o:hr="t" fillcolor="#a0a0a0" stroked="f"/>
        </w:pict>
      </w:r>
    </w:p>
    <w:p w14:paraId="5CE49505" w14:textId="77777777" w:rsidR="005C2736" w:rsidRDefault="00000000" w:rsidP="008B1AFB">
      <w:pPr>
        <w:spacing w:before="240" w:after="240"/>
        <w:jc w:val="both"/>
        <w:rPr>
          <w:b/>
          <w:bCs/>
        </w:rPr>
      </w:pPr>
      <w:r>
        <w:rPr>
          <w:b/>
          <w:bCs/>
        </w:rPr>
        <w:t>¿Por qué es vital el BI en un E-</w:t>
      </w:r>
      <w:proofErr w:type="spellStart"/>
      <w:r>
        <w:rPr>
          <w:b/>
          <w:bCs/>
        </w:rPr>
        <w:t>commerce</w:t>
      </w:r>
      <w:proofErr w:type="spellEnd"/>
      <w:r>
        <w:rPr>
          <w:b/>
          <w:bCs/>
        </w:rPr>
        <w:t>?</w:t>
      </w:r>
    </w:p>
    <w:p w14:paraId="4835B735" w14:textId="77777777" w:rsidR="005C2736" w:rsidRDefault="00000000" w:rsidP="008B1AFB">
      <w:pPr>
        <w:spacing w:before="240" w:after="240"/>
        <w:jc w:val="both"/>
      </w:pPr>
      <w:proofErr w:type="gramStart"/>
      <w:r>
        <w:t xml:space="preserve">Business </w:t>
      </w:r>
      <w:proofErr w:type="spellStart"/>
      <w:r>
        <w:t>Intelligence</w:t>
      </w:r>
      <w:proofErr w:type="spellEnd"/>
      <w:proofErr w:type="gramEnd"/>
      <w:r>
        <w:t xml:space="preserve"> (BI) es el conjunto de procesos, tecnologías y metodologías orientadas a transformar datos sin procesar en información útil para la toma de decisiones. En el contexto de un e-</w:t>
      </w:r>
      <w:proofErr w:type="spellStart"/>
      <w:r>
        <w:t>commerce</w:t>
      </w:r>
      <w:proofErr w:type="spellEnd"/>
      <w:r>
        <w:t>, donde se generan diariamente grandes volúmenes de datos, contar con esta capacidad analítica se convierte en un diferenciador competitivo esencial.</w:t>
      </w:r>
    </w:p>
    <w:p w14:paraId="4FC256A7" w14:textId="77777777" w:rsidR="005C2736" w:rsidRDefault="00000000" w:rsidP="008B1AFB">
      <w:pPr>
        <w:spacing w:before="240" w:after="240"/>
        <w:jc w:val="both"/>
      </w:pPr>
      <w:r>
        <w:t>La implementación de BI permite a una empresa de comercio electrónico recopilar, integrar, analizar y presentar su información de manera estructurada, brindando a los equipos directivos y operativos una base sólida para tomar decisiones estratégicas.</w:t>
      </w:r>
      <w:r>
        <w:pict w14:anchorId="0A4B550F">
          <v:rect id="_x0000_i1026" style="width:0;height:1.5pt" o:hralign="center" o:hrstd="t" o:hr="t" fillcolor="#a0a0a0" stroked="f"/>
        </w:pict>
      </w:r>
    </w:p>
    <w:p w14:paraId="6D831BCF" w14:textId="77777777" w:rsidR="005C2736" w:rsidRDefault="00000000" w:rsidP="008B1AFB">
      <w:pPr>
        <w:spacing w:before="240" w:after="240"/>
        <w:jc w:val="both"/>
        <w:rPr>
          <w:b/>
          <w:bCs/>
        </w:rPr>
      </w:pPr>
      <w:r>
        <w:rPr>
          <w:b/>
          <w:bCs/>
        </w:rPr>
        <w:t>Herramientas de BI seleccionadas y su utilización</w:t>
      </w:r>
    </w:p>
    <w:p w14:paraId="59CEB78E" w14:textId="77777777" w:rsidR="005C2736" w:rsidRDefault="00000000" w:rsidP="008B1AFB">
      <w:pPr>
        <w:spacing w:before="240" w:after="240"/>
        <w:jc w:val="both"/>
      </w:pPr>
      <w:r>
        <w:t>Para implementar una estrategia de BI efectiva en el e-</w:t>
      </w:r>
      <w:proofErr w:type="spellStart"/>
      <w:r>
        <w:t>commerce</w:t>
      </w:r>
      <w:proofErr w:type="spellEnd"/>
      <w:r>
        <w:t>, se propone el uso combinado de las siguientes herramientas, cada una orientada a una etapa específica del ciclo de vida del dato:</w:t>
      </w:r>
    </w:p>
    <w:p w14:paraId="6A649707" w14:textId="77777777" w:rsidR="005C2736" w:rsidRDefault="00000000" w:rsidP="008B1AFB">
      <w:pPr>
        <w:spacing w:before="240" w:after="240"/>
        <w:jc w:val="both"/>
      </w:pPr>
      <w:r>
        <w:rPr>
          <w:b/>
          <w:bCs/>
        </w:rPr>
        <w:t>Google Sheets</w:t>
      </w:r>
      <w:r>
        <w:t xml:space="preserve"> cumplirá el rol de herramienta para la preparación, limpieza y procesamiento inicial de los datos. A través de funciones como </w:t>
      </w:r>
      <w:r>
        <w:rPr>
          <w:rFonts w:ascii="Roboto Mono" w:eastAsia="Roboto Mono" w:hAnsi="Roboto Mono" w:cs="Roboto Mono"/>
          <w:color w:val="188038"/>
        </w:rPr>
        <w:t>IMPORTRANGE</w:t>
      </w:r>
      <w:r>
        <w:t xml:space="preserve"> o </w:t>
      </w:r>
      <w:r>
        <w:rPr>
          <w:rFonts w:ascii="Roboto Mono" w:eastAsia="Roboto Mono" w:hAnsi="Roboto Mono" w:cs="Roboto Mono"/>
          <w:color w:val="188038"/>
        </w:rPr>
        <w:t>BUSCARX</w:t>
      </w:r>
      <w:r>
        <w:t>, se podrán consolidar fuentes de información dispersas en una única hoja de trabajo. Además, permite aplicar funciones estadísticas básicas para el análisis exploratorio y validar la calidad de los datos antes de su procesamiento avanzado.</w:t>
      </w:r>
    </w:p>
    <w:p w14:paraId="3002DC95" w14:textId="77777777" w:rsidR="005C2736" w:rsidRDefault="00000000" w:rsidP="008B1AFB">
      <w:pPr>
        <w:spacing w:before="240" w:after="240"/>
        <w:jc w:val="both"/>
      </w:pPr>
      <w:proofErr w:type="spellStart"/>
      <w:r>
        <w:rPr>
          <w:b/>
          <w:bCs/>
        </w:rPr>
        <w:t>Tableau</w:t>
      </w:r>
      <w:proofErr w:type="spellEnd"/>
      <w:r>
        <w:rPr>
          <w:b/>
          <w:bCs/>
        </w:rPr>
        <w:t xml:space="preserve">, Power BI o </w:t>
      </w:r>
      <w:proofErr w:type="spellStart"/>
      <w:r>
        <w:rPr>
          <w:b/>
          <w:bCs/>
        </w:rPr>
        <w:t>QlikView</w:t>
      </w:r>
      <w:proofErr w:type="spellEnd"/>
      <w:r>
        <w:t xml:space="preserve"> son herramientas de analítica avanzada que podrán ser empleadas para el análisis de mayor profundidad y escala. Resultan especialmente útiles cuando se requiere procesar grandes volúmenes de datos, construir modelos predictivos básicos o realizar cruces de variables complejos que excedan las capacidades de las hojas de cálculo tradicionales.</w:t>
      </w:r>
    </w:p>
    <w:p w14:paraId="78D50F53" w14:textId="77777777" w:rsidR="005C2736" w:rsidRDefault="00000000" w:rsidP="008B1AFB">
      <w:pPr>
        <w:spacing w:before="240" w:after="240"/>
        <w:jc w:val="both"/>
        <w:rPr>
          <w:b/>
          <w:bCs/>
        </w:rPr>
      </w:pPr>
      <w:r>
        <w:rPr>
          <w:b/>
          <w:bCs/>
        </w:rPr>
        <w:t>Flujo de trabajo propuesto</w:t>
      </w:r>
    </w:p>
    <w:p w14:paraId="20B9E322" w14:textId="77777777" w:rsidR="005C2736" w:rsidRDefault="00000000" w:rsidP="008B1AFB">
      <w:pPr>
        <w:spacing w:before="240" w:after="240"/>
        <w:jc w:val="both"/>
      </w:pPr>
      <w:r>
        <w:t>La implementación seguirá cuatro etapas secuenciales:</w:t>
      </w:r>
    </w:p>
    <w:p w14:paraId="164B4C1F" w14:textId="77777777" w:rsidR="005C2736" w:rsidRDefault="00000000" w:rsidP="008B1AFB">
      <w:pPr>
        <w:numPr>
          <w:ilvl w:val="0"/>
          <w:numId w:val="3"/>
        </w:numPr>
        <w:spacing w:before="240"/>
        <w:jc w:val="both"/>
      </w:pPr>
      <w:r>
        <w:rPr>
          <w:b/>
          <w:bCs/>
        </w:rPr>
        <w:t>Recopilación:</w:t>
      </w:r>
      <w:r>
        <w:t xml:space="preserve"> Extracción de datos internos (CRM, plataforma de ventas, sistema de inventario) y externos (tendencias de mercado, comportamiento en redes sociales, </w:t>
      </w:r>
      <w:proofErr w:type="spellStart"/>
      <w:r>
        <w:t>benchmarks</w:t>
      </w:r>
      <w:proofErr w:type="spellEnd"/>
      <w:r>
        <w:t xml:space="preserve"> del sector).</w:t>
      </w:r>
    </w:p>
    <w:p w14:paraId="61B400A6" w14:textId="77777777" w:rsidR="005C2736" w:rsidRDefault="00000000" w:rsidP="008B1AFB">
      <w:pPr>
        <w:numPr>
          <w:ilvl w:val="0"/>
          <w:numId w:val="3"/>
        </w:numPr>
        <w:jc w:val="both"/>
      </w:pPr>
      <w:r>
        <w:rPr>
          <w:b/>
          <w:bCs/>
        </w:rPr>
        <w:t>Integración — ETL:</w:t>
      </w:r>
      <w:r>
        <w:t xml:space="preserve"> Los datos serán consolidados, limpiados y normalizados para garantizar su consistencia y confiabilidad antes del análisis. Esta etapa es crítica para evitar conclusiones basadas en información errónea o incompleta.</w:t>
      </w:r>
    </w:p>
    <w:p w14:paraId="5189D3C5" w14:textId="77777777" w:rsidR="005C2736" w:rsidRDefault="00000000" w:rsidP="008B1AFB">
      <w:pPr>
        <w:numPr>
          <w:ilvl w:val="0"/>
          <w:numId w:val="3"/>
        </w:numPr>
        <w:jc w:val="both"/>
      </w:pPr>
      <w:r>
        <w:rPr>
          <w:b/>
          <w:bCs/>
        </w:rPr>
        <w:t>Análisis:</w:t>
      </w:r>
      <w:r>
        <w:t xml:space="preserve"> Exploración de los datos para detectar patrones de compra, correlaciones relevantes (como la relación entre inversión en marketing y volumen de ventas) y tendencias de comportamiento del cliente.</w:t>
      </w:r>
    </w:p>
    <w:p w14:paraId="2F8E02E3" w14:textId="77777777" w:rsidR="005C2736" w:rsidRDefault="00000000" w:rsidP="008B1AFB">
      <w:pPr>
        <w:numPr>
          <w:ilvl w:val="0"/>
          <w:numId w:val="3"/>
        </w:numPr>
        <w:spacing w:after="240"/>
        <w:jc w:val="both"/>
      </w:pPr>
      <w:r>
        <w:rPr>
          <w:b/>
          <w:bCs/>
        </w:rPr>
        <w:lastRenderedPageBreak/>
        <w:t>Presentación:</w:t>
      </w:r>
      <w:r>
        <w:t xml:space="preserve"> Construcción de </w:t>
      </w:r>
      <w:proofErr w:type="spellStart"/>
      <w:r>
        <w:t>dashboards</w:t>
      </w:r>
      <w:proofErr w:type="spellEnd"/>
      <w:r>
        <w:t xml:space="preserve"> estratégicos y operativos que permitan a los responsables de tomar decisiones interpretar la información de forma visual, clara e intuitiva.</w:t>
      </w:r>
    </w:p>
    <w:p w14:paraId="76117B87" w14:textId="77777777" w:rsidR="005C2736" w:rsidRDefault="00000000" w:rsidP="008B1AFB">
      <w:pPr>
        <w:jc w:val="both"/>
      </w:pPr>
      <w:r>
        <w:pict w14:anchorId="5CE784C5">
          <v:rect id="_x0000_i1027" style="width:0;height:1.5pt" o:hralign="center" o:hrstd="t" o:hr="t" fillcolor="#a0a0a0" stroked="f"/>
        </w:pict>
      </w:r>
    </w:p>
    <w:p w14:paraId="17BCEBAC" w14:textId="77777777" w:rsidR="005C2736" w:rsidRDefault="00000000" w:rsidP="008B1AFB">
      <w:pPr>
        <w:spacing w:before="240" w:after="240"/>
        <w:jc w:val="both"/>
        <w:rPr>
          <w:b/>
          <w:bCs/>
        </w:rPr>
      </w:pPr>
      <w:r>
        <w:rPr>
          <w:b/>
          <w:bCs/>
        </w:rPr>
        <w:t>Beneficios estratégicos para el negocio</w:t>
      </w:r>
    </w:p>
    <w:p w14:paraId="45A9E240" w14:textId="77777777" w:rsidR="005C2736" w:rsidRDefault="00000000" w:rsidP="008B1AFB">
      <w:pPr>
        <w:spacing w:before="240" w:after="240"/>
        <w:jc w:val="both"/>
      </w:pPr>
      <w:r>
        <w:t>La implementación de este ecosistema de BI aportará los siguientes beneficios concretos al e-</w:t>
      </w:r>
      <w:proofErr w:type="spellStart"/>
      <w:r>
        <w:t>commerce</w:t>
      </w:r>
      <w:proofErr w:type="spellEnd"/>
      <w:r>
        <w:t>:</w:t>
      </w:r>
    </w:p>
    <w:p w14:paraId="21599701" w14:textId="77777777" w:rsidR="005C2736" w:rsidRDefault="00000000" w:rsidP="008B1AFB">
      <w:pPr>
        <w:numPr>
          <w:ilvl w:val="0"/>
          <w:numId w:val="1"/>
        </w:numPr>
        <w:spacing w:before="240"/>
        <w:jc w:val="both"/>
      </w:pPr>
      <w:r>
        <w:rPr>
          <w:b/>
          <w:bCs/>
        </w:rPr>
        <w:t>Mayor capacidad de respuesta:</w:t>
      </w:r>
      <w:r>
        <w:t xml:space="preserve"> El monitoreo en tiempo real permitirá detectar cambios en el comportamiento del mercado y reaccionar oportunamente, reduciendo el tiempo entre la identificación de un problema y su resolución.</w:t>
      </w:r>
    </w:p>
    <w:p w14:paraId="0502CE78" w14:textId="77777777" w:rsidR="005C2736" w:rsidRDefault="00000000" w:rsidP="008B1AFB">
      <w:pPr>
        <w:numPr>
          <w:ilvl w:val="0"/>
          <w:numId w:val="1"/>
        </w:numPr>
        <w:jc w:val="both"/>
      </w:pPr>
      <w:r>
        <w:rPr>
          <w:b/>
          <w:bCs/>
        </w:rPr>
        <w:t>Identificación de oportunidades de crecimiento:</w:t>
      </w:r>
      <w:r>
        <w:t xml:space="preserve"> El análisis del comportamiento y las preferencias del cliente habilitará la personalización de ofertas, el diseño de campañas más efectivas y la detección de segmentos con potencial de expansión.</w:t>
      </w:r>
    </w:p>
    <w:p w14:paraId="57B7818C" w14:textId="77777777" w:rsidR="005C2736" w:rsidRDefault="00000000" w:rsidP="008B1AFB">
      <w:pPr>
        <w:numPr>
          <w:ilvl w:val="0"/>
          <w:numId w:val="1"/>
        </w:numPr>
        <w:spacing w:after="240"/>
        <w:jc w:val="both"/>
      </w:pPr>
      <w:r>
        <w:rPr>
          <w:b/>
          <w:bCs/>
        </w:rPr>
        <w:t>Consolidación de una cultura basada en datos:</w:t>
      </w:r>
      <w:r>
        <w:t xml:space="preserve"> Más allá de los beneficios técnicos, la adopción de BI promueve un cambio cultural en la organización: las decisiones dejan de sustentarse en la intuición para apoyarse en evidencia concreta, métricas claras y análisis reproducibles.</w:t>
      </w:r>
    </w:p>
    <w:p w14:paraId="35F1BB4A" w14:textId="77777777" w:rsidR="005C2736" w:rsidRDefault="00000000" w:rsidP="008B1AFB">
      <w:pPr>
        <w:spacing w:before="240" w:after="240"/>
        <w:jc w:val="both"/>
      </w:pPr>
      <w:r>
        <w:pict w14:anchorId="5E2C4F13">
          <v:rect id="_x0000_i1028" style="width:0;height:1.5pt" o:hralign="center" o:hrstd="t" o:hr="t" fillcolor="#a0a0a0" stroked="f"/>
        </w:pict>
      </w:r>
    </w:p>
    <w:p w14:paraId="15AAE126" w14:textId="77777777" w:rsidR="005C2736" w:rsidRDefault="00000000" w:rsidP="008B1AFB">
      <w:pPr>
        <w:spacing w:before="240" w:after="240"/>
        <w:jc w:val="both"/>
        <w:rPr>
          <w:b/>
          <w:bCs/>
        </w:rPr>
      </w:pPr>
      <w:r>
        <w:rPr>
          <w:b/>
          <w:bCs/>
        </w:rPr>
        <w:t>1.2 Caso de Estudio: Violación de Ética en Datos en el Comercio Electrónico</w:t>
      </w:r>
      <w:r>
        <w:t xml:space="preserve"> </w:t>
      </w:r>
      <w:r>
        <w:rPr>
          <w:b/>
          <w:bCs/>
        </w:rPr>
        <w:t>Mercado Libre — Filtración de datos (marzo de 2022)</w:t>
      </w:r>
    </w:p>
    <w:p w14:paraId="578C2B6C" w14:textId="77777777" w:rsidR="005C2736" w:rsidRDefault="00000000" w:rsidP="008B1AFB">
      <w:pPr>
        <w:spacing w:before="240" w:after="240"/>
        <w:jc w:val="both"/>
      </w:pPr>
      <w:r>
        <w:pict w14:anchorId="10B4A4D0">
          <v:rect id="_x0000_i1029" style="width:0;height:1.5pt" o:hralign="center" o:hrstd="t" o:hr="t" fillcolor="#a0a0a0" stroked="f"/>
        </w:pict>
      </w:r>
    </w:p>
    <w:p w14:paraId="376AA60D" w14:textId="77777777" w:rsidR="005C2736" w:rsidRDefault="00000000" w:rsidP="008B1AFB">
      <w:pPr>
        <w:spacing w:before="240" w:after="240"/>
        <w:jc w:val="both"/>
      </w:pPr>
      <w:r>
        <w:rPr>
          <w:b/>
          <w:bCs/>
        </w:rPr>
        <w:t>Contexto</w:t>
      </w:r>
    </w:p>
    <w:p w14:paraId="11711612" w14:textId="77777777" w:rsidR="005C2736" w:rsidRDefault="00000000" w:rsidP="008B1AFB">
      <w:pPr>
        <w:spacing w:before="240" w:after="240"/>
        <w:jc w:val="both"/>
      </w:pPr>
      <w:r>
        <w:t xml:space="preserve">En marzo de 2022, Mercado Libre, confirmó públicamente que parte de su código fuente había sido objeto de acceso no autorizado, y que se habían comprometido datos personales de aproximadamente 300.000 usuarios. El ataque fue atribuido al grupo de ciberdelincuentes, el mismo responsable de ataques previos contra Samsung y </w:t>
      </w:r>
      <w:proofErr w:type="spellStart"/>
      <w:r>
        <w:t>Nvidia</w:t>
      </w:r>
      <w:proofErr w:type="spellEnd"/>
      <w:r>
        <w:t xml:space="preserve">. El grupo publicó una encuesta en su canal de </w:t>
      </w:r>
      <w:proofErr w:type="spellStart"/>
      <w:r>
        <w:t>Telegram</w:t>
      </w:r>
      <w:proofErr w:type="spellEnd"/>
      <w:r>
        <w:t xml:space="preserve"> preguntando cuál sería su próxima víctima, y Mercado Libre apareció como una de las opciones. Pocas horas después de que la amenaza se viralizara, la empresa emitió un comunicado oficial confirmando la brecha.</w:t>
      </w:r>
    </w:p>
    <w:p w14:paraId="3A685FBF" w14:textId="77777777" w:rsidR="005C2736" w:rsidRDefault="00000000" w:rsidP="008B1AFB">
      <w:pPr>
        <w:spacing w:before="240" w:after="240"/>
        <w:jc w:val="both"/>
      </w:pPr>
      <w:r>
        <w:pict w14:anchorId="63BC4330">
          <v:rect id="_x0000_i1030" style="width:0;height:1.5pt" o:hralign="center" o:hrstd="t" o:hr="t" fillcolor="#a0a0a0" stroked="f"/>
        </w:pict>
      </w:r>
    </w:p>
    <w:p w14:paraId="512DE67F" w14:textId="77777777" w:rsidR="005C2736" w:rsidRDefault="00000000" w:rsidP="008B1AFB">
      <w:pPr>
        <w:spacing w:before="240" w:after="240"/>
        <w:jc w:val="both"/>
        <w:rPr>
          <w:b/>
          <w:bCs/>
        </w:rPr>
      </w:pPr>
      <w:r>
        <w:rPr>
          <w:b/>
          <w:bCs/>
        </w:rPr>
        <w:t>2. Faltas éticas identificadas</w:t>
      </w:r>
    </w:p>
    <w:p w14:paraId="68F0743F" w14:textId="77777777" w:rsidR="005C2736" w:rsidRDefault="00000000" w:rsidP="008B1AFB">
      <w:pPr>
        <w:spacing w:before="240" w:after="240"/>
        <w:jc w:val="both"/>
      </w:pPr>
      <w:r>
        <w:t>Analizando el caso desde los principios éticos trabajados, se identifican las siguientes vulneraciones:</w:t>
      </w:r>
    </w:p>
    <w:p w14:paraId="6BA8741E" w14:textId="77777777" w:rsidR="005C2736" w:rsidRDefault="00000000" w:rsidP="008B1AFB">
      <w:pPr>
        <w:spacing w:before="240" w:after="240"/>
        <w:jc w:val="both"/>
      </w:pPr>
      <w:r>
        <w:rPr>
          <w:b/>
          <w:bCs/>
        </w:rPr>
        <w:t>Falla en la protección de la privacidad y seguridad</w:t>
      </w:r>
      <w:r>
        <w:t xml:space="preserve">, ya que, las organizaciones deben implementar medidas que garanticen la seguridad de la información, protegiendo los datos contra accesos no autorizados y filtraciones y que esto implica no solo cumplir con las leyes vigentes, sino también "adoptar prácticas proactivas que garanticen el respeto por la </w:t>
      </w:r>
      <w:r>
        <w:lastRenderedPageBreak/>
        <w:t>privacidad". La brecha evidenció que los controles de acceso al código fuente y a los datos de usuarios no eran suficientemente robustos.</w:t>
      </w:r>
    </w:p>
    <w:p w14:paraId="387B9DEE" w14:textId="77777777" w:rsidR="005C2736" w:rsidRDefault="00000000" w:rsidP="008B1AFB">
      <w:pPr>
        <w:spacing w:before="240" w:after="240"/>
        <w:jc w:val="both"/>
      </w:pPr>
      <w:r>
        <w:rPr>
          <w:b/>
          <w:bCs/>
        </w:rPr>
        <w:t>Falta de consentimiento informado y responsabilidad hacia el usuario</w:t>
      </w:r>
      <w:r>
        <w:t>: las organizaciones tienen la obligación de ser transparentes en sus prácticas de manejo de datos. En este caso, los usuarios confiaron sus datos personales a la plataforma sin poder prever que serían expuestos por una falla de seguridad interna. La responsabilidad de custodiar esa información recaía en Mercado Libre.</w:t>
      </w:r>
    </w:p>
    <w:p w14:paraId="79669730" w14:textId="77777777" w:rsidR="005C2736" w:rsidRDefault="00000000" w:rsidP="008B1AFB">
      <w:pPr>
        <w:spacing w:before="240" w:after="240"/>
        <w:jc w:val="both"/>
      </w:pPr>
      <w:r>
        <w:rPr>
          <w:b/>
          <w:bCs/>
        </w:rPr>
        <w:t>Equidad y no discriminación como principio vulnerado indirectamente</w:t>
      </w:r>
      <w:r>
        <w:t xml:space="preserve"> Si los datos filtrados llegaron a manos de terceros malintencionados, los usuarios afectados quedan expuestos a estafas, suplantación de identidad y otros perjuicios sin haber tenido ninguna participación ni posibilidad de protegerse.</w:t>
      </w:r>
    </w:p>
    <w:p w14:paraId="6FC30392" w14:textId="77777777" w:rsidR="005C2736" w:rsidRDefault="00000000" w:rsidP="008B1AFB">
      <w:pPr>
        <w:spacing w:before="240" w:after="240"/>
        <w:jc w:val="both"/>
      </w:pPr>
      <w:r>
        <w:rPr>
          <w:b/>
          <w:bCs/>
        </w:rPr>
        <w:t>Incumplimiento de las buenas prácticas de seguridad</w:t>
      </w:r>
      <w:r>
        <w:t xml:space="preserve">: el uso de cifrado, la </w:t>
      </w:r>
      <w:proofErr w:type="spellStart"/>
      <w:r>
        <w:t>anonimización</w:t>
      </w:r>
      <w:proofErr w:type="spellEnd"/>
      <w:r>
        <w:t xml:space="preserve">, la autenticación </w:t>
      </w:r>
      <w:proofErr w:type="spellStart"/>
      <w:r>
        <w:t>multifactor</w:t>
      </w:r>
      <w:proofErr w:type="spellEnd"/>
      <w:r>
        <w:t xml:space="preserve"> y las auditorías regulares de seguridad (necesarias para la protección de la información) no fueron correctamente establecidas y el debate que el caso generó sobre si las billeteras digitales como Mercado Pago contaban o no con un segundo factor de autenticación sugiere que estas prácticas no estaban completamente implementadas.</w:t>
      </w:r>
    </w:p>
    <w:p w14:paraId="276CF10D" w14:textId="77777777" w:rsidR="005C2736" w:rsidRDefault="00000000" w:rsidP="008B1AFB">
      <w:pPr>
        <w:spacing w:before="240" w:after="240"/>
        <w:jc w:val="both"/>
      </w:pPr>
      <w:r>
        <w:pict w14:anchorId="4F0E3C73">
          <v:rect id="_x0000_i1031" style="width:0;height:1.5pt" o:hralign="center" o:hrstd="t" o:hr="t" fillcolor="#a0a0a0" stroked="f"/>
        </w:pict>
      </w:r>
    </w:p>
    <w:p w14:paraId="196840B0" w14:textId="77777777" w:rsidR="005C2736" w:rsidRDefault="00000000" w:rsidP="008B1AFB">
      <w:pPr>
        <w:spacing w:before="240" w:after="240"/>
        <w:jc w:val="both"/>
        <w:rPr>
          <w:b/>
          <w:bCs/>
        </w:rPr>
      </w:pPr>
      <w:r>
        <w:rPr>
          <w:b/>
          <w:bCs/>
        </w:rPr>
        <w:t>3. Consecuencias</w:t>
      </w:r>
    </w:p>
    <w:p w14:paraId="4F8665EB" w14:textId="77777777" w:rsidR="005C2736" w:rsidRDefault="00000000" w:rsidP="008B1AFB">
      <w:pPr>
        <w:spacing w:before="240" w:after="240"/>
        <w:jc w:val="both"/>
      </w:pPr>
      <w:r>
        <w:t>Los 300.000 usuarios afectados quedaron expuestos a riesgos concretos: intentos de phishing y estafas por parte de terceros que podrían hacerse pasar por Mercado Libre o Mercado Pago para obtener información adicional. La confianza en la plataforma para gestionar datos financieros y personales se vio dañada.</w:t>
      </w:r>
    </w:p>
    <w:p w14:paraId="7200DB3C" w14:textId="77777777" w:rsidR="005C2736" w:rsidRDefault="00000000" w:rsidP="008B1AFB">
      <w:pPr>
        <w:spacing w:before="240" w:after="240"/>
        <w:jc w:val="both"/>
      </w:pPr>
      <w:r>
        <w:t>Por otra parte, en el plano corporativo, La Dirección Nacional de Defensa de las y los Consumidores de Argentina intervino de oficio, advirtiendo que las empresas que proveen servicios deben garantizar la seguridad de sus operaciones. Se analizó la posible aplicación de sanciones en el marco de la Ley de Defensa del Consumidor. Adicionalmente, Mercado Libre cotiza en el Nasdaq, por lo que debió informar la brecha mediante un reporte formal (formulario 8-K), con impacto directo en su reputación corporativa e institucional.</w:t>
      </w:r>
    </w:p>
    <w:p w14:paraId="25E77819" w14:textId="77777777" w:rsidR="005C2736" w:rsidRDefault="00000000" w:rsidP="008B1AFB">
      <w:pPr>
        <w:spacing w:before="240" w:after="240"/>
        <w:jc w:val="both"/>
      </w:pPr>
      <w:r>
        <w:t xml:space="preserve">El caso abrió un debate más amplio sobre los estándares de seguridad de las plataformas </w:t>
      </w:r>
      <w:proofErr w:type="spellStart"/>
      <w:r>
        <w:t>fintech</w:t>
      </w:r>
      <w:proofErr w:type="spellEnd"/>
      <w:r>
        <w:t xml:space="preserve"> y de e-</w:t>
      </w:r>
      <w:proofErr w:type="spellStart"/>
      <w:r>
        <w:t>commerce</w:t>
      </w:r>
      <w:proofErr w:type="spellEnd"/>
      <w:r>
        <w:t xml:space="preserve"> en la región, y sobre la necesidad de regulaciones más estrictas en materia de protección de datos personales en América Latina.</w:t>
      </w:r>
    </w:p>
    <w:p w14:paraId="3BF70EC1" w14:textId="77777777" w:rsidR="005C2736" w:rsidRDefault="00000000" w:rsidP="008B1AFB">
      <w:pPr>
        <w:spacing w:before="240" w:after="240"/>
        <w:jc w:val="both"/>
      </w:pPr>
      <w:r>
        <w:pict w14:anchorId="0E9BA90E">
          <v:rect id="_x0000_i1032" style="width:0;height:1.5pt" o:hralign="center" o:hrstd="t" o:hr="t" fillcolor="#a0a0a0" stroked="f"/>
        </w:pict>
      </w:r>
    </w:p>
    <w:p w14:paraId="0FFDDA62" w14:textId="77777777" w:rsidR="005C2736" w:rsidRDefault="00000000" w:rsidP="008B1AFB">
      <w:pPr>
        <w:spacing w:before="240" w:after="240"/>
        <w:jc w:val="both"/>
        <w:rPr>
          <w:b/>
          <w:bCs/>
        </w:rPr>
      </w:pPr>
      <w:r>
        <w:rPr>
          <w:b/>
          <w:bCs/>
        </w:rPr>
        <w:t>4. Lecciones aprendidas y errores a evitar</w:t>
      </w:r>
    </w:p>
    <w:p w14:paraId="18AF9408" w14:textId="77777777" w:rsidR="005C2736" w:rsidRDefault="005C2736" w:rsidP="008B1AFB">
      <w:pPr>
        <w:spacing w:before="240" w:after="240"/>
        <w:jc w:val="both"/>
      </w:pPr>
    </w:p>
    <w:p w14:paraId="22CEB3C0" w14:textId="77777777" w:rsidR="005C2736" w:rsidRDefault="00000000" w:rsidP="008B1AFB">
      <w:pPr>
        <w:spacing w:before="240" w:after="240"/>
        <w:jc w:val="both"/>
      </w:pPr>
      <w:r>
        <w:rPr>
          <w:b/>
          <w:bCs/>
        </w:rPr>
        <w:t>Implementar controles de seguridad proporcionales al volumen de datos gestionados</w:t>
      </w:r>
      <w:r>
        <w:t xml:space="preserve">: las prácticas de seguridad deben incluir cifrado, autenticación </w:t>
      </w:r>
      <w:proofErr w:type="spellStart"/>
      <w:r>
        <w:t>multifactor</w:t>
      </w:r>
      <w:proofErr w:type="spellEnd"/>
      <w:r>
        <w:t xml:space="preserve">, controles de acceso estrictos y auditorías regulares. Una plataforma que opera servicios financieros para millones </w:t>
      </w:r>
      <w:r>
        <w:lastRenderedPageBreak/>
        <w:t>de personas en toda América Latina tiene una responsabilidad especialmente elevada en este sentido. No alcanza con cumplir el mínimo legal: la ética exige ir más allá.</w:t>
      </w:r>
    </w:p>
    <w:p w14:paraId="6ED2931B" w14:textId="77777777" w:rsidR="005C2736" w:rsidRDefault="00000000" w:rsidP="008B1AFB">
      <w:pPr>
        <w:spacing w:before="240" w:after="240"/>
        <w:jc w:val="both"/>
      </w:pPr>
      <w:r>
        <w:rPr>
          <w:b/>
          <w:bCs/>
        </w:rPr>
        <w:t>Nunca subestimar el valor de los datos almacenados</w:t>
      </w:r>
      <w:r>
        <w:t xml:space="preserve"> Esto significa que cualquier organización que acumule grandes volúmenes de datos personales está custodiando un activo de alto valor que puede ser objetivo de ataques. Esa responsabilidad debe ser gestionada activamente, no de forma reactiva.</w:t>
      </w:r>
    </w:p>
    <w:p w14:paraId="1F626228" w14:textId="77777777" w:rsidR="005C2736" w:rsidRDefault="00000000" w:rsidP="008B1AFB">
      <w:pPr>
        <w:spacing w:before="240" w:after="240"/>
        <w:jc w:val="both"/>
      </w:pPr>
      <w:r>
        <w:rPr>
          <w:b/>
          <w:bCs/>
        </w:rPr>
        <w:t>La formación continua del personal es la primera línea de defensa</w:t>
      </w:r>
      <w:r>
        <w:t xml:space="preserve"> debido a que la mayoría de las brechas de seguridad son consecuencias de errores o desconocimiento humano. Por este motivo, la formación continua del personal en materia de seguridad es parte de la responsabilidad ética de cualquier organización que maneje información sensible.</w:t>
      </w:r>
    </w:p>
    <w:p w14:paraId="1C5C4903" w14:textId="77777777" w:rsidR="005C2736" w:rsidRDefault="00000000" w:rsidP="008B1AFB">
      <w:pPr>
        <w:spacing w:before="240" w:after="240"/>
        <w:jc w:val="both"/>
      </w:pPr>
      <w:r>
        <w:pict w14:anchorId="3A8DE92A">
          <v:rect id="_x0000_i1033" style="width:0;height:1.5pt" o:hralign="center" o:hrstd="t" o:hr="t" fillcolor="#a0a0a0" stroked="f"/>
        </w:pict>
      </w:r>
    </w:p>
    <w:p w14:paraId="1B69BF93" w14:textId="77777777" w:rsidR="005C2736" w:rsidRDefault="00000000" w:rsidP="008B1AFB">
      <w:pPr>
        <w:spacing w:before="240" w:after="240"/>
        <w:jc w:val="both"/>
        <w:rPr>
          <w:b/>
          <w:bCs/>
        </w:rPr>
      </w:pPr>
      <w:r>
        <w:rPr>
          <w:b/>
          <w:bCs/>
        </w:rPr>
        <w:t>Conclusión</w:t>
      </w:r>
    </w:p>
    <w:p w14:paraId="42E728D1" w14:textId="77777777" w:rsidR="005C2736" w:rsidRDefault="00000000" w:rsidP="008B1AFB">
      <w:pPr>
        <w:spacing w:before="240" w:after="240"/>
        <w:jc w:val="both"/>
      </w:pPr>
      <w:r>
        <w:t xml:space="preserve">Este caso ilustra que la ética en el manejo de datos no es un tema abstracto o exclusivamente teórico: tiene consecuencias directas y concretas sobre personas reales. Desde la perspectiva de </w:t>
      </w:r>
      <w:proofErr w:type="gramStart"/>
      <w:r>
        <w:t xml:space="preserve">Business </w:t>
      </w:r>
      <w:proofErr w:type="spellStart"/>
      <w:r>
        <w:t>Intelligence</w:t>
      </w:r>
      <w:proofErr w:type="spellEnd"/>
      <w:proofErr w:type="gramEnd"/>
      <w:r>
        <w:t>, los datos son el insumo central de todo análisis y toma de decisiones. Si ese insumo no está protegido éticamente, todo el ecosistema de BI pierde su fundamento de confianza.</w:t>
      </w:r>
    </w:p>
    <w:p w14:paraId="3915BF87" w14:textId="77777777" w:rsidR="005C2736" w:rsidRDefault="00000000" w:rsidP="008B1AFB">
      <w:pPr>
        <w:spacing w:before="240" w:after="240"/>
        <w:jc w:val="both"/>
      </w:pPr>
      <w:r>
        <w:t>_________________________________________________________________________</w:t>
      </w:r>
    </w:p>
    <w:p w14:paraId="12618393" w14:textId="77777777" w:rsidR="005C2736" w:rsidRDefault="00000000" w:rsidP="008B1AFB">
      <w:pPr>
        <w:spacing w:before="240" w:after="240"/>
        <w:jc w:val="both"/>
        <w:rPr>
          <w:b/>
          <w:bCs/>
        </w:rPr>
      </w:pPr>
      <w:r>
        <w:rPr>
          <w:b/>
          <w:bCs/>
        </w:rPr>
        <w:t>1.3 Investigación: Exploración y Búsqueda de Fuentes de Datos Públicas para E-</w:t>
      </w:r>
      <w:proofErr w:type="spellStart"/>
      <w:r>
        <w:rPr>
          <w:b/>
          <w:bCs/>
        </w:rPr>
        <w:t>commerce</w:t>
      </w:r>
      <w:proofErr w:type="spellEnd"/>
    </w:p>
    <w:p w14:paraId="42015699" w14:textId="77777777" w:rsidR="005C2736" w:rsidRDefault="00000000" w:rsidP="008B1AFB">
      <w:pPr>
        <w:spacing w:before="240" w:after="240"/>
        <w:jc w:val="both"/>
      </w:pPr>
      <w:r>
        <w:pict w14:anchorId="66B969F2">
          <v:rect id="_x0000_i1034" style="width:0;height:1.5pt" o:hralign="center" o:hrstd="t" o:hr="t" fillcolor="#a0a0a0" stroked="f"/>
        </w:pict>
      </w:r>
    </w:p>
    <w:p w14:paraId="48640E43" w14:textId="77777777" w:rsidR="005C2736" w:rsidRDefault="00000000" w:rsidP="008B1AFB">
      <w:pPr>
        <w:spacing w:before="240" w:after="240"/>
        <w:jc w:val="both"/>
        <w:rPr>
          <w:b/>
          <w:bCs/>
        </w:rPr>
      </w:pPr>
      <w:r>
        <w:rPr>
          <w:b/>
          <w:bCs/>
        </w:rPr>
        <w:t>Introducción</w:t>
      </w:r>
    </w:p>
    <w:p w14:paraId="418402A5" w14:textId="77777777" w:rsidR="005C2736" w:rsidRDefault="00000000" w:rsidP="008B1AFB">
      <w:pPr>
        <w:spacing w:before="240" w:after="240"/>
        <w:jc w:val="both"/>
      </w:pPr>
      <w:r>
        <w:t xml:space="preserve">Entre las categorías de fuentes externas relevantes se encuentran los </w:t>
      </w:r>
      <w:r>
        <w:rPr>
          <w:b/>
          <w:bCs/>
        </w:rPr>
        <w:t>datos gubernamentales</w:t>
      </w:r>
      <w:r>
        <w:t xml:space="preserve">, los </w:t>
      </w:r>
      <w:r>
        <w:rPr>
          <w:b/>
          <w:bCs/>
        </w:rPr>
        <w:t>datos del mercado</w:t>
      </w:r>
      <w:r>
        <w:t xml:space="preserve"> y las </w:t>
      </w:r>
      <w:r>
        <w:rPr>
          <w:b/>
          <w:bCs/>
        </w:rPr>
        <w:t>redes sociales y opiniones en línea</w:t>
      </w:r>
      <w:r>
        <w:t>.</w:t>
      </w:r>
    </w:p>
    <w:p w14:paraId="006659C6" w14:textId="77777777" w:rsidR="005C2736" w:rsidRDefault="00000000" w:rsidP="008B1AFB">
      <w:pPr>
        <w:spacing w:before="240" w:after="240"/>
        <w:jc w:val="both"/>
      </w:pPr>
      <w:r>
        <w:t>Identificar fuentes públicas confiables es un paso previo fundamental antes de cualquier análisis de BI, ya que la calidad del análisis depende directamente de la calidad y relevancia de los datos utilizados. En este caso, analizaremos las fuentes del INDEC, CACE y STATISTA</w:t>
      </w:r>
    </w:p>
    <w:p w14:paraId="718EAEA2" w14:textId="77777777" w:rsidR="005C2736" w:rsidRDefault="005C2736" w:rsidP="008B1AFB">
      <w:pPr>
        <w:spacing w:before="240" w:after="240"/>
        <w:jc w:val="both"/>
      </w:pPr>
    </w:p>
    <w:p w14:paraId="09CE756B" w14:textId="77777777" w:rsidR="005C2736" w:rsidRDefault="00000000" w:rsidP="008B1AFB">
      <w:pPr>
        <w:spacing w:before="240" w:after="240"/>
        <w:jc w:val="both"/>
        <w:rPr>
          <w:b/>
          <w:bCs/>
        </w:rPr>
      </w:pPr>
      <w:r>
        <w:rPr>
          <w:b/>
          <w:bCs/>
        </w:rPr>
        <w:t>Tabla de fuentes públicas identificadas</w:t>
      </w:r>
    </w:p>
    <w:p w14:paraId="507B2F69" w14:textId="77777777" w:rsidR="005C2736" w:rsidRDefault="005C2736" w:rsidP="008B1AFB">
      <w:pPr>
        <w:spacing w:before="240" w:after="240"/>
        <w:jc w:val="both"/>
      </w:pPr>
    </w:p>
    <w:tbl>
      <w:tblPr>
        <w:tblStyle w:val="a"/>
        <w:tblW w:w="9029" w:type="dxa"/>
        <w:tblInd w:w="0" w:type="dxa"/>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Layout w:type="fixed"/>
        <w:tblLook w:val="0600" w:firstRow="0" w:lastRow="0" w:firstColumn="0" w:lastColumn="0" w:noHBand="1" w:noVBand="1"/>
      </w:tblPr>
      <w:tblGrid>
        <w:gridCol w:w="2258"/>
        <w:gridCol w:w="2257"/>
        <w:gridCol w:w="2257"/>
        <w:gridCol w:w="2257"/>
      </w:tblGrid>
      <w:tr w:rsidR="005C2736" w14:paraId="11B27FCE" w14:textId="77777777">
        <w:tc>
          <w:tcPr>
            <w:tcW w:w="2257" w:type="dxa"/>
            <w:shd w:val="clear" w:color="auto" w:fill="FFD966"/>
            <w:tcMar>
              <w:top w:w="100" w:type="dxa"/>
              <w:left w:w="100" w:type="dxa"/>
              <w:bottom w:w="100" w:type="dxa"/>
              <w:right w:w="100" w:type="dxa"/>
            </w:tcMar>
          </w:tcPr>
          <w:p w14:paraId="20D6A910" w14:textId="77777777" w:rsidR="005C2736" w:rsidRDefault="005C2736" w:rsidP="008B1AFB">
            <w:pPr>
              <w:widowControl w:val="0"/>
              <w:pBdr>
                <w:top w:val="nil"/>
                <w:left w:val="nil"/>
                <w:bottom w:val="nil"/>
                <w:right w:val="nil"/>
                <w:between w:val="nil"/>
              </w:pBdr>
              <w:spacing w:line="240" w:lineRule="auto"/>
              <w:jc w:val="both"/>
              <w:rPr>
                <w:shd w:val="clear" w:color="auto" w:fill="FFD966"/>
              </w:rPr>
            </w:pPr>
          </w:p>
        </w:tc>
        <w:tc>
          <w:tcPr>
            <w:tcW w:w="2257" w:type="dxa"/>
            <w:shd w:val="clear" w:color="auto" w:fill="FFD966"/>
            <w:tcMar>
              <w:top w:w="100" w:type="dxa"/>
              <w:left w:w="100" w:type="dxa"/>
              <w:bottom w:w="100" w:type="dxa"/>
              <w:right w:w="100" w:type="dxa"/>
            </w:tcMar>
          </w:tcPr>
          <w:p w14:paraId="66207D16" w14:textId="77777777" w:rsidR="005C2736" w:rsidRDefault="00000000" w:rsidP="008B1AFB">
            <w:pPr>
              <w:widowControl w:val="0"/>
              <w:pBdr>
                <w:top w:val="nil"/>
                <w:left w:val="nil"/>
                <w:bottom w:val="nil"/>
                <w:right w:val="nil"/>
                <w:between w:val="nil"/>
              </w:pBdr>
              <w:spacing w:line="240" w:lineRule="auto"/>
              <w:jc w:val="both"/>
              <w:rPr>
                <w:b/>
                <w:bCs/>
              </w:rPr>
            </w:pPr>
            <w:r>
              <w:rPr>
                <w:b/>
                <w:bCs/>
              </w:rPr>
              <w:t>Fuente 1</w:t>
            </w:r>
          </w:p>
        </w:tc>
        <w:tc>
          <w:tcPr>
            <w:tcW w:w="2257" w:type="dxa"/>
            <w:shd w:val="clear" w:color="auto" w:fill="FFD966"/>
            <w:tcMar>
              <w:top w:w="100" w:type="dxa"/>
              <w:left w:w="100" w:type="dxa"/>
              <w:bottom w:w="100" w:type="dxa"/>
              <w:right w:w="100" w:type="dxa"/>
            </w:tcMar>
          </w:tcPr>
          <w:p w14:paraId="076BB0A1" w14:textId="77777777" w:rsidR="005C2736" w:rsidRDefault="00000000" w:rsidP="008B1AFB">
            <w:pPr>
              <w:widowControl w:val="0"/>
              <w:pBdr>
                <w:top w:val="nil"/>
                <w:left w:val="nil"/>
                <w:bottom w:val="nil"/>
                <w:right w:val="nil"/>
                <w:between w:val="nil"/>
              </w:pBdr>
              <w:spacing w:line="240" w:lineRule="auto"/>
              <w:jc w:val="both"/>
              <w:rPr>
                <w:b/>
                <w:bCs/>
              </w:rPr>
            </w:pPr>
            <w:r>
              <w:rPr>
                <w:b/>
                <w:bCs/>
              </w:rPr>
              <w:t xml:space="preserve"> Fuente 2</w:t>
            </w:r>
          </w:p>
        </w:tc>
        <w:tc>
          <w:tcPr>
            <w:tcW w:w="2257" w:type="dxa"/>
            <w:shd w:val="clear" w:color="auto" w:fill="FFD966"/>
            <w:tcMar>
              <w:top w:w="100" w:type="dxa"/>
              <w:left w:w="100" w:type="dxa"/>
              <w:bottom w:w="100" w:type="dxa"/>
              <w:right w:w="100" w:type="dxa"/>
            </w:tcMar>
          </w:tcPr>
          <w:p w14:paraId="4963B8B9" w14:textId="77777777" w:rsidR="005C2736" w:rsidRDefault="00000000" w:rsidP="008B1AFB">
            <w:pPr>
              <w:widowControl w:val="0"/>
              <w:pBdr>
                <w:top w:val="nil"/>
                <w:left w:val="nil"/>
                <w:bottom w:val="nil"/>
                <w:right w:val="nil"/>
                <w:between w:val="nil"/>
              </w:pBdr>
              <w:spacing w:line="240" w:lineRule="auto"/>
              <w:jc w:val="both"/>
              <w:rPr>
                <w:b/>
                <w:bCs/>
              </w:rPr>
            </w:pPr>
            <w:r>
              <w:rPr>
                <w:b/>
                <w:bCs/>
              </w:rPr>
              <w:t xml:space="preserve"> Fuente 3</w:t>
            </w:r>
          </w:p>
        </w:tc>
      </w:tr>
      <w:tr w:rsidR="005C2736" w14:paraId="6AF44432" w14:textId="77777777">
        <w:tc>
          <w:tcPr>
            <w:tcW w:w="2257" w:type="dxa"/>
            <w:shd w:val="clear" w:color="auto" w:fill="FFD966"/>
            <w:tcMar>
              <w:top w:w="100" w:type="dxa"/>
              <w:left w:w="100" w:type="dxa"/>
              <w:bottom w:w="100" w:type="dxa"/>
              <w:right w:w="100" w:type="dxa"/>
            </w:tcMar>
          </w:tcPr>
          <w:p w14:paraId="07DDB936" w14:textId="77777777" w:rsidR="005C2736" w:rsidRDefault="00000000" w:rsidP="008B1AFB">
            <w:pPr>
              <w:widowControl w:val="0"/>
              <w:pBdr>
                <w:top w:val="nil"/>
                <w:left w:val="nil"/>
                <w:bottom w:val="nil"/>
                <w:right w:val="nil"/>
                <w:between w:val="nil"/>
              </w:pBdr>
              <w:spacing w:line="240" w:lineRule="auto"/>
              <w:jc w:val="both"/>
              <w:rPr>
                <w:b/>
                <w:bCs/>
              </w:rPr>
            </w:pPr>
            <w:r>
              <w:rPr>
                <w:b/>
                <w:bCs/>
              </w:rPr>
              <w:t>Nombre</w:t>
            </w:r>
          </w:p>
        </w:tc>
        <w:tc>
          <w:tcPr>
            <w:tcW w:w="2257" w:type="dxa"/>
            <w:tcMar>
              <w:top w:w="100" w:type="dxa"/>
              <w:left w:w="100" w:type="dxa"/>
              <w:bottom w:w="100" w:type="dxa"/>
              <w:right w:w="100" w:type="dxa"/>
            </w:tcMar>
          </w:tcPr>
          <w:p w14:paraId="60170902" w14:textId="77777777" w:rsidR="005C2736" w:rsidRDefault="00000000" w:rsidP="008B1AFB">
            <w:pPr>
              <w:widowControl w:val="0"/>
              <w:pBdr>
                <w:top w:val="nil"/>
                <w:left w:val="nil"/>
                <w:bottom w:val="nil"/>
                <w:right w:val="nil"/>
                <w:between w:val="nil"/>
              </w:pBdr>
              <w:spacing w:line="240" w:lineRule="auto"/>
              <w:jc w:val="both"/>
            </w:pPr>
            <w:r>
              <w:t>INDEC (</w:t>
            </w:r>
            <w:proofErr w:type="spellStart"/>
            <w:r>
              <w:t>Insittuto</w:t>
            </w:r>
            <w:proofErr w:type="spellEnd"/>
            <w:r>
              <w:t xml:space="preserve"> Nacional de Estadísticas y </w:t>
            </w:r>
            <w:r>
              <w:lastRenderedPageBreak/>
              <w:t xml:space="preserve">censos) </w:t>
            </w:r>
          </w:p>
        </w:tc>
        <w:tc>
          <w:tcPr>
            <w:tcW w:w="2257" w:type="dxa"/>
            <w:tcMar>
              <w:top w:w="100" w:type="dxa"/>
              <w:left w:w="100" w:type="dxa"/>
              <w:bottom w:w="100" w:type="dxa"/>
              <w:right w:w="100" w:type="dxa"/>
            </w:tcMar>
          </w:tcPr>
          <w:p w14:paraId="6EC17B00" w14:textId="77777777" w:rsidR="005C2736" w:rsidRDefault="00000000" w:rsidP="008B1AFB">
            <w:pPr>
              <w:widowControl w:val="0"/>
              <w:pBdr>
                <w:top w:val="nil"/>
                <w:left w:val="nil"/>
                <w:bottom w:val="nil"/>
                <w:right w:val="nil"/>
                <w:between w:val="nil"/>
              </w:pBdr>
              <w:spacing w:line="240" w:lineRule="auto"/>
              <w:jc w:val="both"/>
            </w:pPr>
            <w:r>
              <w:lastRenderedPageBreak/>
              <w:t xml:space="preserve">CACE (Cámara Argentina de comercio </w:t>
            </w:r>
            <w:r>
              <w:lastRenderedPageBreak/>
              <w:t>electrónico)</w:t>
            </w:r>
          </w:p>
        </w:tc>
        <w:tc>
          <w:tcPr>
            <w:tcW w:w="2257" w:type="dxa"/>
            <w:tcMar>
              <w:top w:w="100" w:type="dxa"/>
              <w:left w:w="100" w:type="dxa"/>
              <w:bottom w:w="100" w:type="dxa"/>
              <w:right w:w="100" w:type="dxa"/>
            </w:tcMar>
          </w:tcPr>
          <w:p w14:paraId="0F9890B6" w14:textId="77777777" w:rsidR="005C2736" w:rsidRDefault="00000000" w:rsidP="008B1AFB">
            <w:pPr>
              <w:widowControl w:val="0"/>
              <w:pBdr>
                <w:top w:val="nil"/>
                <w:left w:val="nil"/>
                <w:bottom w:val="nil"/>
                <w:right w:val="nil"/>
                <w:between w:val="nil"/>
              </w:pBdr>
              <w:spacing w:line="240" w:lineRule="auto"/>
              <w:jc w:val="both"/>
            </w:pPr>
            <w:r>
              <w:lastRenderedPageBreak/>
              <w:t xml:space="preserve">Statista (plataforma internacional de datos y estadísticas) </w:t>
            </w:r>
          </w:p>
        </w:tc>
      </w:tr>
      <w:tr w:rsidR="005C2736" w14:paraId="0EB585DE" w14:textId="77777777">
        <w:tc>
          <w:tcPr>
            <w:tcW w:w="2257" w:type="dxa"/>
            <w:shd w:val="clear" w:color="auto" w:fill="FFD966"/>
            <w:tcMar>
              <w:top w:w="100" w:type="dxa"/>
              <w:left w:w="100" w:type="dxa"/>
              <w:bottom w:w="100" w:type="dxa"/>
              <w:right w:w="100" w:type="dxa"/>
            </w:tcMar>
          </w:tcPr>
          <w:p w14:paraId="37E92734" w14:textId="77777777" w:rsidR="005C2736" w:rsidRDefault="00000000" w:rsidP="008B1AFB">
            <w:pPr>
              <w:widowControl w:val="0"/>
              <w:pBdr>
                <w:top w:val="nil"/>
                <w:left w:val="nil"/>
                <w:bottom w:val="nil"/>
                <w:right w:val="nil"/>
                <w:between w:val="nil"/>
              </w:pBdr>
              <w:spacing w:line="240" w:lineRule="auto"/>
              <w:jc w:val="both"/>
              <w:rPr>
                <w:b/>
                <w:bCs/>
              </w:rPr>
            </w:pPr>
            <w:r>
              <w:rPr>
                <w:b/>
                <w:bCs/>
              </w:rPr>
              <w:t>Tipo de fuente</w:t>
            </w:r>
          </w:p>
        </w:tc>
        <w:tc>
          <w:tcPr>
            <w:tcW w:w="2257" w:type="dxa"/>
            <w:tcMar>
              <w:top w:w="100" w:type="dxa"/>
              <w:left w:w="100" w:type="dxa"/>
              <w:bottom w:w="100" w:type="dxa"/>
              <w:right w:w="100" w:type="dxa"/>
            </w:tcMar>
          </w:tcPr>
          <w:p w14:paraId="0691C53E" w14:textId="77777777" w:rsidR="005C2736" w:rsidRDefault="00000000" w:rsidP="008B1AFB">
            <w:pPr>
              <w:widowControl w:val="0"/>
              <w:pBdr>
                <w:top w:val="nil"/>
                <w:left w:val="nil"/>
                <w:bottom w:val="nil"/>
                <w:right w:val="nil"/>
                <w:between w:val="nil"/>
              </w:pBdr>
              <w:spacing w:line="240" w:lineRule="auto"/>
              <w:jc w:val="both"/>
            </w:pPr>
            <w:r>
              <w:t>Secundarias: Datos gubernamentales</w:t>
            </w:r>
          </w:p>
        </w:tc>
        <w:tc>
          <w:tcPr>
            <w:tcW w:w="2257" w:type="dxa"/>
            <w:tcMar>
              <w:top w:w="100" w:type="dxa"/>
              <w:left w:w="100" w:type="dxa"/>
              <w:bottom w:w="100" w:type="dxa"/>
              <w:right w:w="100" w:type="dxa"/>
            </w:tcMar>
          </w:tcPr>
          <w:p w14:paraId="21489CB7" w14:textId="77777777" w:rsidR="005C2736" w:rsidRDefault="00000000" w:rsidP="008B1AFB">
            <w:pPr>
              <w:widowControl w:val="0"/>
              <w:pBdr>
                <w:top w:val="nil"/>
                <w:left w:val="nil"/>
                <w:bottom w:val="nil"/>
                <w:right w:val="nil"/>
                <w:between w:val="nil"/>
              </w:pBdr>
              <w:spacing w:line="240" w:lineRule="auto"/>
              <w:jc w:val="both"/>
            </w:pPr>
            <w:r>
              <w:t>Secundaria: datos del mercado sectorial</w:t>
            </w:r>
          </w:p>
        </w:tc>
        <w:tc>
          <w:tcPr>
            <w:tcW w:w="2257" w:type="dxa"/>
            <w:tcMar>
              <w:top w:w="100" w:type="dxa"/>
              <w:left w:w="100" w:type="dxa"/>
              <w:bottom w:w="100" w:type="dxa"/>
              <w:right w:w="100" w:type="dxa"/>
            </w:tcMar>
          </w:tcPr>
          <w:p w14:paraId="79B0CD01" w14:textId="77777777" w:rsidR="005C2736" w:rsidRDefault="00000000" w:rsidP="008B1AFB">
            <w:pPr>
              <w:widowControl w:val="0"/>
              <w:pBdr>
                <w:top w:val="nil"/>
                <w:left w:val="nil"/>
                <w:bottom w:val="nil"/>
                <w:right w:val="nil"/>
                <w:between w:val="nil"/>
              </w:pBdr>
              <w:spacing w:line="240" w:lineRule="auto"/>
              <w:jc w:val="both"/>
            </w:pPr>
            <w:r>
              <w:t>Secundaria: datos del mercado e informes de investigación</w:t>
            </w:r>
          </w:p>
        </w:tc>
      </w:tr>
      <w:tr w:rsidR="005C2736" w14:paraId="21398556" w14:textId="77777777">
        <w:tc>
          <w:tcPr>
            <w:tcW w:w="2257" w:type="dxa"/>
            <w:shd w:val="clear" w:color="auto" w:fill="FFD966"/>
            <w:tcMar>
              <w:top w:w="100" w:type="dxa"/>
              <w:left w:w="100" w:type="dxa"/>
              <w:bottom w:w="100" w:type="dxa"/>
              <w:right w:w="100" w:type="dxa"/>
            </w:tcMar>
          </w:tcPr>
          <w:p w14:paraId="64DD5BB4" w14:textId="77777777" w:rsidR="005C2736" w:rsidRDefault="00000000" w:rsidP="008B1AFB">
            <w:pPr>
              <w:widowControl w:val="0"/>
              <w:pBdr>
                <w:top w:val="nil"/>
                <w:left w:val="nil"/>
                <w:bottom w:val="nil"/>
                <w:right w:val="nil"/>
                <w:between w:val="nil"/>
              </w:pBdr>
              <w:spacing w:line="240" w:lineRule="auto"/>
              <w:jc w:val="both"/>
              <w:rPr>
                <w:b/>
                <w:bCs/>
              </w:rPr>
            </w:pPr>
            <w:r>
              <w:rPr>
                <w:b/>
                <w:bCs/>
              </w:rPr>
              <w:t xml:space="preserve">Enlace </w:t>
            </w:r>
          </w:p>
        </w:tc>
        <w:tc>
          <w:tcPr>
            <w:tcW w:w="2257" w:type="dxa"/>
            <w:tcMar>
              <w:top w:w="100" w:type="dxa"/>
              <w:left w:w="100" w:type="dxa"/>
              <w:bottom w:w="100" w:type="dxa"/>
              <w:right w:w="100" w:type="dxa"/>
            </w:tcMar>
          </w:tcPr>
          <w:p w14:paraId="1B14023A" w14:textId="77777777" w:rsidR="005C2736" w:rsidRDefault="00000000" w:rsidP="008B1AFB">
            <w:pPr>
              <w:widowControl w:val="0"/>
              <w:pBdr>
                <w:top w:val="nil"/>
                <w:left w:val="nil"/>
                <w:bottom w:val="nil"/>
                <w:right w:val="nil"/>
                <w:between w:val="nil"/>
              </w:pBdr>
              <w:spacing w:line="240" w:lineRule="auto"/>
              <w:jc w:val="both"/>
            </w:pPr>
            <w:hyperlink r:id="rId5">
              <w:r>
                <w:rPr>
                  <w:color w:val="1155CC"/>
                  <w:u w:val="single"/>
                </w:rPr>
                <w:t>www.indec.gob.ar</w:t>
              </w:r>
            </w:hyperlink>
            <w:r>
              <w:t xml:space="preserve"> </w:t>
            </w:r>
          </w:p>
        </w:tc>
        <w:tc>
          <w:tcPr>
            <w:tcW w:w="2257" w:type="dxa"/>
            <w:tcMar>
              <w:top w:w="100" w:type="dxa"/>
              <w:left w:w="100" w:type="dxa"/>
              <w:bottom w:w="100" w:type="dxa"/>
              <w:right w:w="100" w:type="dxa"/>
            </w:tcMar>
          </w:tcPr>
          <w:p w14:paraId="69A62BE2" w14:textId="77777777" w:rsidR="005C2736" w:rsidRDefault="00000000" w:rsidP="008B1AFB">
            <w:pPr>
              <w:widowControl w:val="0"/>
              <w:pBdr>
                <w:top w:val="nil"/>
                <w:left w:val="nil"/>
                <w:bottom w:val="nil"/>
                <w:right w:val="nil"/>
                <w:between w:val="nil"/>
              </w:pBdr>
              <w:spacing w:line="240" w:lineRule="auto"/>
              <w:jc w:val="both"/>
            </w:pPr>
            <w:hyperlink r:id="rId6">
              <w:r>
                <w:rPr>
                  <w:color w:val="1155CC"/>
                  <w:u w:val="single"/>
                </w:rPr>
                <w:t>www.cace.org.ar</w:t>
              </w:r>
            </w:hyperlink>
            <w:r>
              <w:t xml:space="preserve"> </w:t>
            </w:r>
          </w:p>
        </w:tc>
        <w:tc>
          <w:tcPr>
            <w:tcW w:w="2257" w:type="dxa"/>
            <w:tcMar>
              <w:top w:w="100" w:type="dxa"/>
              <w:left w:w="100" w:type="dxa"/>
              <w:bottom w:w="100" w:type="dxa"/>
              <w:right w:w="100" w:type="dxa"/>
            </w:tcMar>
          </w:tcPr>
          <w:p w14:paraId="26EE5B83" w14:textId="77777777" w:rsidR="005C2736" w:rsidRDefault="00000000" w:rsidP="008B1AFB">
            <w:pPr>
              <w:widowControl w:val="0"/>
              <w:pBdr>
                <w:top w:val="nil"/>
                <w:left w:val="nil"/>
                <w:bottom w:val="nil"/>
                <w:right w:val="nil"/>
                <w:between w:val="nil"/>
              </w:pBdr>
              <w:spacing w:line="240" w:lineRule="auto"/>
              <w:jc w:val="both"/>
            </w:pPr>
            <w:hyperlink r:id="rId7">
              <w:r>
                <w:rPr>
                  <w:color w:val="1155CC"/>
                  <w:u w:val="single"/>
                </w:rPr>
                <w:t>www.statista.com</w:t>
              </w:r>
            </w:hyperlink>
            <w:r>
              <w:t xml:space="preserve"> </w:t>
            </w:r>
          </w:p>
        </w:tc>
      </w:tr>
      <w:tr w:rsidR="005C2736" w14:paraId="2AE41F34" w14:textId="77777777">
        <w:tc>
          <w:tcPr>
            <w:tcW w:w="2257" w:type="dxa"/>
            <w:shd w:val="clear" w:color="auto" w:fill="FFD966"/>
            <w:tcMar>
              <w:top w:w="100" w:type="dxa"/>
              <w:left w:w="100" w:type="dxa"/>
              <w:bottom w:w="100" w:type="dxa"/>
              <w:right w:w="100" w:type="dxa"/>
            </w:tcMar>
          </w:tcPr>
          <w:p w14:paraId="36BCF86E" w14:textId="77777777" w:rsidR="005C2736" w:rsidRDefault="00000000" w:rsidP="008B1AFB">
            <w:pPr>
              <w:widowControl w:val="0"/>
              <w:pBdr>
                <w:top w:val="nil"/>
                <w:left w:val="nil"/>
                <w:bottom w:val="nil"/>
                <w:right w:val="nil"/>
                <w:between w:val="nil"/>
              </w:pBdr>
              <w:spacing w:line="240" w:lineRule="auto"/>
              <w:jc w:val="both"/>
              <w:rPr>
                <w:b/>
                <w:bCs/>
              </w:rPr>
            </w:pPr>
            <w:r>
              <w:rPr>
                <w:b/>
                <w:bCs/>
              </w:rPr>
              <w:t>Tipo de datos</w:t>
            </w:r>
          </w:p>
        </w:tc>
        <w:tc>
          <w:tcPr>
            <w:tcW w:w="2257" w:type="dxa"/>
            <w:tcMar>
              <w:top w:w="100" w:type="dxa"/>
              <w:left w:w="100" w:type="dxa"/>
              <w:bottom w:w="100" w:type="dxa"/>
              <w:right w:w="100" w:type="dxa"/>
            </w:tcMar>
          </w:tcPr>
          <w:p w14:paraId="0A9352AE" w14:textId="77777777" w:rsidR="005C2736" w:rsidRDefault="00000000" w:rsidP="008B1AFB">
            <w:pPr>
              <w:widowControl w:val="0"/>
              <w:pBdr>
                <w:top w:val="nil"/>
                <w:left w:val="nil"/>
                <w:bottom w:val="nil"/>
                <w:right w:val="nil"/>
                <w:between w:val="nil"/>
              </w:pBdr>
              <w:spacing w:line="240" w:lineRule="auto"/>
              <w:jc w:val="both"/>
            </w:pPr>
            <w:r>
              <w:t xml:space="preserve">Estadísticas de comercio, acceso a tecnología, uso de internet por hogares, datos socioeconómicos y demográficos </w:t>
            </w:r>
          </w:p>
        </w:tc>
        <w:tc>
          <w:tcPr>
            <w:tcW w:w="2257" w:type="dxa"/>
            <w:tcMar>
              <w:top w:w="100" w:type="dxa"/>
              <w:left w:w="100" w:type="dxa"/>
              <w:bottom w:w="100" w:type="dxa"/>
              <w:right w:w="100" w:type="dxa"/>
            </w:tcMar>
          </w:tcPr>
          <w:p w14:paraId="50D791F6" w14:textId="77777777" w:rsidR="005C2736" w:rsidRDefault="00000000" w:rsidP="008B1AFB">
            <w:pPr>
              <w:widowControl w:val="0"/>
              <w:pBdr>
                <w:top w:val="nil"/>
                <w:left w:val="nil"/>
                <w:bottom w:val="nil"/>
                <w:right w:val="nil"/>
                <w:between w:val="nil"/>
              </w:pBdr>
              <w:spacing w:line="240" w:lineRule="auto"/>
              <w:jc w:val="both"/>
            </w:pPr>
            <w:r>
              <w:t>Facturación anual del e-</w:t>
            </w:r>
            <w:proofErr w:type="spellStart"/>
            <w:r>
              <w:t>commerce</w:t>
            </w:r>
            <w:proofErr w:type="spellEnd"/>
            <w:r>
              <w:t xml:space="preserve"> argentino, categorías más vendidas, medios de pago, comportamiento del consumidor digital </w:t>
            </w:r>
          </w:p>
        </w:tc>
        <w:tc>
          <w:tcPr>
            <w:tcW w:w="2257" w:type="dxa"/>
            <w:tcMar>
              <w:top w:w="100" w:type="dxa"/>
              <w:left w:w="100" w:type="dxa"/>
              <w:bottom w:w="100" w:type="dxa"/>
              <w:right w:w="100" w:type="dxa"/>
            </w:tcMar>
          </w:tcPr>
          <w:p w14:paraId="79075F68" w14:textId="77777777" w:rsidR="005C2736" w:rsidRDefault="00000000" w:rsidP="008B1AFB">
            <w:pPr>
              <w:widowControl w:val="0"/>
              <w:pBdr>
                <w:top w:val="nil"/>
                <w:left w:val="nil"/>
                <w:bottom w:val="nil"/>
                <w:right w:val="nil"/>
                <w:between w:val="nil"/>
              </w:pBdr>
              <w:spacing w:line="240" w:lineRule="auto"/>
              <w:jc w:val="both"/>
            </w:pPr>
            <w:r>
              <w:t>Estadísticas globales y regionales de e-</w:t>
            </w:r>
            <w:proofErr w:type="spellStart"/>
            <w:r>
              <w:t>commerce</w:t>
            </w:r>
            <w:proofErr w:type="spellEnd"/>
            <w:r>
              <w:t xml:space="preserve">, ventas online, penetración de mercado, comparativas por país </w:t>
            </w:r>
          </w:p>
        </w:tc>
      </w:tr>
      <w:tr w:rsidR="005C2736" w14:paraId="12918647" w14:textId="77777777">
        <w:tc>
          <w:tcPr>
            <w:tcW w:w="2257" w:type="dxa"/>
            <w:shd w:val="clear" w:color="auto" w:fill="FFD966"/>
            <w:tcMar>
              <w:top w:w="100" w:type="dxa"/>
              <w:left w:w="100" w:type="dxa"/>
              <w:bottom w:w="100" w:type="dxa"/>
              <w:right w:w="100" w:type="dxa"/>
            </w:tcMar>
          </w:tcPr>
          <w:p w14:paraId="0C8DE2A3" w14:textId="77777777" w:rsidR="005C2736" w:rsidRDefault="00000000" w:rsidP="008B1AFB">
            <w:pPr>
              <w:widowControl w:val="0"/>
              <w:pBdr>
                <w:top w:val="nil"/>
                <w:left w:val="nil"/>
                <w:bottom w:val="nil"/>
                <w:right w:val="nil"/>
                <w:between w:val="nil"/>
              </w:pBdr>
              <w:spacing w:line="240" w:lineRule="auto"/>
              <w:jc w:val="both"/>
              <w:rPr>
                <w:b/>
                <w:bCs/>
              </w:rPr>
            </w:pPr>
            <w:r>
              <w:rPr>
                <w:b/>
                <w:bCs/>
              </w:rPr>
              <w:t xml:space="preserve">Potencial de análisis </w:t>
            </w:r>
          </w:p>
        </w:tc>
        <w:tc>
          <w:tcPr>
            <w:tcW w:w="2257" w:type="dxa"/>
            <w:tcMar>
              <w:top w:w="100" w:type="dxa"/>
              <w:left w:w="100" w:type="dxa"/>
              <w:bottom w:w="100" w:type="dxa"/>
              <w:right w:w="100" w:type="dxa"/>
            </w:tcMar>
          </w:tcPr>
          <w:p w14:paraId="3A3C4B66" w14:textId="77777777" w:rsidR="005C2736" w:rsidRDefault="00000000" w:rsidP="008B1AFB">
            <w:pPr>
              <w:widowControl w:val="0"/>
              <w:pBdr>
                <w:top w:val="nil"/>
                <w:left w:val="nil"/>
                <w:bottom w:val="nil"/>
                <w:right w:val="nil"/>
                <w:between w:val="nil"/>
              </w:pBdr>
              <w:spacing w:line="240" w:lineRule="auto"/>
              <w:jc w:val="both"/>
            </w:pPr>
            <w:r>
              <w:t xml:space="preserve">Perfil del consumidor digital argentino, correlación entre ingresos y hábitos de compra online, segmentación geográfica </w:t>
            </w:r>
          </w:p>
        </w:tc>
        <w:tc>
          <w:tcPr>
            <w:tcW w:w="2257" w:type="dxa"/>
            <w:tcMar>
              <w:top w:w="100" w:type="dxa"/>
              <w:left w:w="100" w:type="dxa"/>
              <w:bottom w:w="100" w:type="dxa"/>
              <w:right w:w="100" w:type="dxa"/>
            </w:tcMar>
          </w:tcPr>
          <w:p w14:paraId="36256D22" w14:textId="77777777" w:rsidR="005C2736" w:rsidRDefault="00000000" w:rsidP="008B1AFB">
            <w:pPr>
              <w:widowControl w:val="0"/>
              <w:pBdr>
                <w:top w:val="nil"/>
                <w:left w:val="nil"/>
                <w:bottom w:val="nil"/>
                <w:right w:val="nil"/>
                <w:between w:val="nil"/>
              </w:pBdr>
              <w:spacing w:line="240" w:lineRule="auto"/>
              <w:jc w:val="both"/>
            </w:pPr>
            <w:r>
              <w:t xml:space="preserve">Tendencias del mercado local, categorías con mayor crecimiento, medios de pago preferidos </w:t>
            </w:r>
          </w:p>
        </w:tc>
        <w:tc>
          <w:tcPr>
            <w:tcW w:w="2257" w:type="dxa"/>
            <w:tcMar>
              <w:top w:w="100" w:type="dxa"/>
              <w:left w:w="100" w:type="dxa"/>
              <w:bottom w:w="100" w:type="dxa"/>
              <w:right w:w="100" w:type="dxa"/>
            </w:tcMar>
          </w:tcPr>
          <w:p w14:paraId="54D88C77" w14:textId="77777777" w:rsidR="005C2736" w:rsidRDefault="00000000" w:rsidP="008B1AFB">
            <w:pPr>
              <w:widowControl w:val="0"/>
              <w:pBdr>
                <w:top w:val="nil"/>
                <w:left w:val="nil"/>
                <w:bottom w:val="nil"/>
                <w:right w:val="nil"/>
                <w:between w:val="nil"/>
              </w:pBdr>
              <w:spacing w:line="240" w:lineRule="auto"/>
              <w:jc w:val="both"/>
            </w:pPr>
            <w:r>
              <w:t xml:space="preserve">Benchmarking internacional, comparación con otros mercados de la región, proyecciones de crecimiento </w:t>
            </w:r>
          </w:p>
        </w:tc>
      </w:tr>
    </w:tbl>
    <w:p w14:paraId="73D90B7C" w14:textId="77777777" w:rsidR="005C2736" w:rsidRDefault="005C2736" w:rsidP="008B1AFB">
      <w:pPr>
        <w:spacing w:before="240" w:after="240"/>
        <w:jc w:val="both"/>
      </w:pPr>
    </w:p>
    <w:p w14:paraId="689A8F01" w14:textId="77777777" w:rsidR="005C2736" w:rsidRDefault="00000000" w:rsidP="008B1AFB">
      <w:pPr>
        <w:spacing w:before="240" w:after="240"/>
        <w:jc w:val="both"/>
      </w:pPr>
      <w:r>
        <w:t xml:space="preserve">Las tres fuentes identificadas corresponden a </w:t>
      </w:r>
      <w:r>
        <w:rPr>
          <w:b/>
          <w:bCs/>
        </w:rPr>
        <w:t>fuentes secundarias de datos</w:t>
      </w:r>
      <w:r>
        <w:t xml:space="preserve">, definidas como aquellas que </w:t>
      </w:r>
      <w:r>
        <w:rPr>
          <w:i/>
          <w:iCs/>
        </w:rPr>
        <w:t>"consisten en datos que han sido recopilados, procesados y analizados por otros"</w:t>
      </w:r>
      <w:r>
        <w:t xml:space="preserve"> y que </w:t>
      </w:r>
      <w:r>
        <w:rPr>
          <w:i/>
          <w:iCs/>
        </w:rPr>
        <w:t>"pueden ser útiles para complementar la información obtenida de fuentes primarias"</w:t>
      </w:r>
      <w:r>
        <w:t>.</w:t>
      </w:r>
    </w:p>
    <w:p w14:paraId="0C6CF60E" w14:textId="77777777" w:rsidR="005C2736" w:rsidRDefault="00000000" w:rsidP="008B1AFB">
      <w:pPr>
        <w:numPr>
          <w:ilvl w:val="0"/>
          <w:numId w:val="2"/>
        </w:numPr>
        <w:spacing w:before="240"/>
        <w:jc w:val="both"/>
      </w:pPr>
      <w:r>
        <w:t xml:space="preserve">El </w:t>
      </w:r>
      <w:r>
        <w:rPr>
          <w:b/>
          <w:bCs/>
        </w:rPr>
        <w:t>INDEC</w:t>
      </w:r>
      <w:r>
        <w:t xml:space="preserve"> corresponde a la categoría de </w:t>
      </w:r>
      <w:r>
        <w:rPr>
          <w:b/>
          <w:bCs/>
        </w:rPr>
        <w:t>bases de datos públicas</w:t>
      </w:r>
      <w:r>
        <w:t xml:space="preserve">, descriptas en la como fuentes utilizadas </w:t>
      </w:r>
      <w:r>
        <w:rPr>
          <w:i/>
          <w:iCs/>
        </w:rPr>
        <w:t>"para investigaciones demográficas, análisis económicos y sociales"</w:t>
      </w:r>
      <w:r>
        <w:t>.</w:t>
      </w:r>
    </w:p>
    <w:p w14:paraId="4B281EA6" w14:textId="77777777" w:rsidR="005C2736" w:rsidRDefault="00000000" w:rsidP="008B1AFB">
      <w:pPr>
        <w:numPr>
          <w:ilvl w:val="0"/>
          <w:numId w:val="2"/>
        </w:numPr>
        <w:jc w:val="both"/>
      </w:pPr>
      <w:r>
        <w:t xml:space="preserve">La </w:t>
      </w:r>
      <w:r>
        <w:rPr>
          <w:b/>
          <w:bCs/>
        </w:rPr>
        <w:t>CACE</w:t>
      </w:r>
      <w:r>
        <w:t xml:space="preserve"> corresponde a la categoría de </w:t>
      </w:r>
      <w:r>
        <w:rPr>
          <w:b/>
          <w:bCs/>
        </w:rPr>
        <w:t>informes de investigación</w:t>
      </w:r>
      <w:r>
        <w:t xml:space="preserve">, definidos como estudios útiles para </w:t>
      </w:r>
      <w:r>
        <w:rPr>
          <w:i/>
          <w:iCs/>
        </w:rPr>
        <w:t>"presentar revisiones de literatura, análisis de mercado y estudios de caso"</w:t>
      </w:r>
      <w:r>
        <w:t>, valiosos para empresas que buscan nuevas oportunidades de negocio.</w:t>
      </w:r>
    </w:p>
    <w:p w14:paraId="5D2C9C8C" w14:textId="77777777" w:rsidR="005C2736" w:rsidRDefault="00000000" w:rsidP="008B1AFB">
      <w:pPr>
        <w:numPr>
          <w:ilvl w:val="0"/>
          <w:numId w:val="2"/>
        </w:numPr>
        <w:spacing w:after="240"/>
        <w:jc w:val="both"/>
      </w:pPr>
      <w:r>
        <w:rPr>
          <w:b/>
          <w:bCs/>
        </w:rPr>
        <w:t>Statista</w:t>
      </w:r>
      <w:r>
        <w:t xml:space="preserve"> corresponde también a la categoría de </w:t>
      </w:r>
      <w:r>
        <w:rPr>
          <w:b/>
          <w:bCs/>
        </w:rPr>
        <w:t>datos del mercado</w:t>
      </w:r>
      <w:r>
        <w:t xml:space="preserve">, que </w:t>
      </w:r>
      <w:r>
        <w:rPr>
          <w:i/>
          <w:iCs/>
        </w:rPr>
        <w:t>"proporcionan información sobre las tendencias del sector, el comportamiento del consumidor y el posicionamiento de la competencia"</w:t>
      </w:r>
      <w:r>
        <w:t>, útiles para desarrollar estrategias de marketing y ventas.</w:t>
      </w:r>
    </w:p>
    <w:p w14:paraId="137E8353" w14:textId="77777777" w:rsidR="005C2736" w:rsidRDefault="00000000" w:rsidP="008B1AFB">
      <w:pPr>
        <w:spacing w:before="240" w:after="240"/>
        <w:jc w:val="both"/>
      </w:pPr>
      <w:r>
        <w:t xml:space="preserve">La combinación de estas tres fuentes permite obtener </w:t>
      </w:r>
      <w:r>
        <w:rPr>
          <w:i/>
          <w:iCs/>
        </w:rPr>
        <w:t>"una visión más completa y precisa del mercado"</w:t>
      </w:r>
      <w:r>
        <w:t>, combinando el contexto nacional (INDEC), el análisis sectorial específico (CACE) y la perspectiva internacional comparada (Statista).</w:t>
      </w:r>
    </w:p>
    <w:p w14:paraId="7780C02B" w14:textId="77777777" w:rsidR="005C2736" w:rsidRDefault="005C2736" w:rsidP="008B1AFB">
      <w:pPr>
        <w:spacing w:before="240" w:after="240"/>
        <w:jc w:val="both"/>
      </w:pPr>
    </w:p>
    <w:p w14:paraId="21593A98" w14:textId="77777777" w:rsidR="005C2736" w:rsidRDefault="00000000" w:rsidP="008B1AFB">
      <w:pPr>
        <w:spacing w:before="240" w:after="240"/>
        <w:jc w:val="both"/>
        <w:rPr>
          <w:b/>
          <w:bCs/>
        </w:rPr>
      </w:pPr>
      <w:r>
        <w:rPr>
          <w:b/>
          <w:bCs/>
        </w:rPr>
        <w:t>1.4 Obtención y análisis de datos</w:t>
      </w:r>
    </w:p>
    <w:p w14:paraId="77298E31" w14:textId="77777777" w:rsidR="005C2736" w:rsidRDefault="00000000" w:rsidP="008B1AFB">
      <w:pPr>
        <w:spacing w:before="240" w:after="240"/>
        <w:jc w:val="both"/>
        <w:rPr>
          <w:b/>
          <w:bCs/>
        </w:rPr>
      </w:pPr>
      <w:r>
        <w:rPr>
          <w:b/>
          <w:bCs/>
        </w:rPr>
        <w:t>Tabla Ventas</w:t>
      </w:r>
    </w:p>
    <w:p w14:paraId="1040D7C1" w14:textId="77777777" w:rsidR="005C2736" w:rsidRDefault="00000000" w:rsidP="008B1AFB">
      <w:pPr>
        <w:spacing w:before="240" w:after="240"/>
        <w:jc w:val="both"/>
      </w:pPr>
      <w:r>
        <w:lastRenderedPageBreak/>
        <w:t>Se encuentran 29 registros duplicados:</w:t>
      </w:r>
    </w:p>
    <w:p w14:paraId="22A1B499" w14:textId="77777777" w:rsidR="005C2736" w:rsidRDefault="00000000" w:rsidP="008B1AFB">
      <w:pPr>
        <w:spacing w:before="240" w:after="240"/>
        <w:jc w:val="both"/>
      </w:pPr>
      <w:r>
        <w:rPr>
          <w:noProof/>
        </w:rPr>
        <w:drawing>
          <wp:inline distT="114300" distB="114300" distL="114300" distR="114300" wp14:anchorId="6EB85541" wp14:editId="30AB821F">
            <wp:extent cx="2395538" cy="36480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2395538" cy="3648075"/>
                    </a:xfrm>
                    <a:prstGeom prst="rect">
                      <a:avLst/>
                    </a:prstGeom>
                    <a:ln/>
                  </pic:spPr>
                </pic:pic>
              </a:graphicData>
            </a:graphic>
          </wp:inline>
        </w:drawing>
      </w:r>
    </w:p>
    <w:p w14:paraId="309A0EE0" w14:textId="77777777" w:rsidR="005C2736" w:rsidRDefault="00000000" w:rsidP="008B1AFB">
      <w:pPr>
        <w:spacing w:before="240" w:after="240"/>
        <w:jc w:val="both"/>
        <w:rPr>
          <w:b/>
          <w:bCs/>
        </w:rPr>
      </w:pPr>
      <w:r>
        <w:rPr>
          <w:b/>
          <w:bCs/>
        </w:rPr>
        <w:t xml:space="preserve">-Por otra parte, se observaron que los datos de las fechas se observan distintos formatos: </w:t>
      </w:r>
    </w:p>
    <w:p w14:paraId="2139712E" w14:textId="77777777" w:rsidR="005C2736" w:rsidRDefault="00000000" w:rsidP="008B1AFB">
      <w:pPr>
        <w:spacing w:before="240" w:after="240"/>
        <w:jc w:val="both"/>
      </w:pPr>
      <w:r>
        <w:t xml:space="preserve">Por ejemplo: </w:t>
      </w:r>
      <w:proofErr w:type="spellStart"/>
      <w:r>
        <w:t>dd</w:t>
      </w:r>
      <w:proofErr w:type="spellEnd"/>
      <w:r>
        <w:t>/mm/</w:t>
      </w:r>
      <w:proofErr w:type="spellStart"/>
      <w:proofErr w:type="gramStart"/>
      <w:r>
        <w:t>aaaa</w:t>
      </w:r>
      <w:proofErr w:type="spellEnd"/>
      <w:r>
        <w:t>,  d</w:t>
      </w:r>
      <w:proofErr w:type="gramEnd"/>
      <w:r>
        <w:t>/mm/</w:t>
      </w:r>
      <w:proofErr w:type="spellStart"/>
      <w:r>
        <w:t>aaaa</w:t>
      </w:r>
      <w:proofErr w:type="spellEnd"/>
      <w:r>
        <w:t xml:space="preserve"> o d/m/</w:t>
      </w:r>
      <w:proofErr w:type="spellStart"/>
      <w:r>
        <w:t>aaaa</w:t>
      </w:r>
      <w:proofErr w:type="spellEnd"/>
    </w:p>
    <w:p w14:paraId="33B7C854" w14:textId="77777777" w:rsidR="005C2736" w:rsidRDefault="00000000" w:rsidP="008B1AFB">
      <w:pPr>
        <w:spacing w:before="240" w:after="240"/>
        <w:jc w:val="both"/>
      </w:pPr>
      <w:r>
        <w:t xml:space="preserve">-La columna Método de pago se debería llamar </w:t>
      </w:r>
      <w:proofErr w:type="spellStart"/>
      <w:r>
        <w:t>ID_metodo_pago</w:t>
      </w:r>
      <w:proofErr w:type="spellEnd"/>
    </w:p>
    <w:p w14:paraId="2C8D1775" w14:textId="77777777" w:rsidR="005C2736" w:rsidRDefault="00000000" w:rsidP="008B1AFB">
      <w:pPr>
        <w:spacing w:before="240" w:after="240"/>
        <w:jc w:val="both"/>
      </w:pPr>
      <w:r>
        <w:t xml:space="preserve">- Se encuentran diferencias entre las tablas de ventas </w:t>
      </w:r>
      <w:proofErr w:type="spellStart"/>
      <w:r>
        <w:t>pdf</w:t>
      </w:r>
      <w:proofErr w:type="spellEnd"/>
      <w:r>
        <w:t xml:space="preserve"> y el archivo </w:t>
      </w:r>
      <w:proofErr w:type="spellStart"/>
      <w:r>
        <w:t>csv</w:t>
      </w:r>
      <w:proofErr w:type="spellEnd"/>
      <w:r>
        <w:t xml:space="preserve"> analizado.</w:t>
      </w:r>
    </w:p>
    <w:p w14:paraId="3BC9AE48" w14:textId="77777777" w:rsidR="005C2736" w:rsidRDefault="00000000" w:rsidP="008B1AFB">
      <w:pPr>
        <w:spacing w:before="240" w:after="240"/>
        <w:jc w:val="both"/>
        <w:rPr>
          <w:b/>
          <w:bCs/>
        </w:rPr>
      </w:pPr>
      <w:r>
        <w:rPr>
          <w:b/>
          <w:bCs/>
        </w:rPr>
        <w:t>2.1 Limpieza y preparación de datos:</w:t>
      </w:r>
    </w:p>
    <w:p w14:paraId="432FE4A3" w14:textId="77777777" w:rsidR="005C2736" w:rsidRDefault="005C2736" w:rsidP="008B1AFB">
      <w:pPr>
        <w:spacing w:before="240" w:after="240"/>
        <w:jc w:val="both"/>
      </w:pPr>
    </w:p>
    <w:p w14:paraId="1F630AF2" w14:textId="77777777" w:rsidR="005C2736" w:rsidRDefault="00000000" w:rsidP="008B1AFB">
      <w:pPr>
        <w:spacing w:before="240" w:after="240"/>
        <w:jc w:val="both"/>
      </w:pPr>
      <w:r>
        <w:rPr>
          <w:rFonts w:ascii="Arial Unicode MS" w:eastAsia="Arial Unicode MS" w:hAnsi="Arial Unicode MS" w:cs="Arial Unicode MS"/>
        </w:rPr>
        <w:t>Se modificó el formato de las fechas utilizando la función editar tipo de columna → fecha</w:t>
      </w:r>
    </w:p>
    <w:p w14:paraId="35A7B590" w14:textId="77777777" w:rsidR="005C2736" w:rsidRDefault="00000000" w:rsidP="008B1AFB">
      <w:pPr>
        <w:spacing w:before="240" w:after="240"/>
        <w:jc w:val="both"/>
      </w:pPr>
      <w:r>
        <w:t xml:space="preserve">Se verificó si existen espacios en blanco dentro del conjunto de datos a través de la función “recortar espacios en blanco” y se eliminaron duplicados mediante la función “limpieza de datos” y Se modificó el nombre de la columna </w:t>
      </w:r>
      <w:proofErr w:type="spellStart"/>
      <w:r>
        <w:t>Método_pago</w:t>
      </w:r>
      <w:proofErr w:type="spellEnd"/>
      <w:r>
        <w:t xml:space="preserve"> por </w:t>
      </w:r>
      <w:proofErr w:type="spellStart"/>
      <w:r>
        <w:t>ID_metodo_pago</w:t>
      </w:r>
      <w:proofErr w:type="spellEnd"/>
      <w:r>
        <w:t xml:space="preserve"> en la pestaña 2.1</w:t>
      </w:r>
    </w:p>
    <w:p w14:paraId="7DED325F" w14:textId="77777777" w:rsidR="005C2736" w:rsidRDefault="00000000" w:rsidP="008B1AFB">
      <w:pPr>
        <w:spacing w:before="240" w:after="240"/>
        <w:jc w:val="both"/>
      </w:pPr>
      <w:r>
        <w:t xml:space="preserve">Se normalizaron los datos numéricos como números y los </w:t>
      </w:r>
      <w:proofErr w:type="spellStart"/>
      <w:r>
        <w:t>strings</w:t>
      </w:r>
      <w:proofErr w:type="spellEnd"/>
      <w:r>
        <w:t xml:space="preserve"> (Columna Estado) como texto y se ordenaron los </w:t>
      </w:r>
      <w:proofErr w:type="spellStart"/>
      <w:r>
        <w:t>ID_Ventas</w:t>
      </w:r>
      <w:proofErr w:type="spellEnd"/>
      <w:r>
        <w:t xml:space="preserve"> de menor a mayor.</w:t>
      </w:r>
    </w:p>
    <w:p w14:paraId="0FB25748" w14:textId="77777777" w:rsidR="005C2736" w:rsidRDefault="00000000" w:rsidP="008B1AFB">
      <w:pPr>
        <w:spacing w:before="240" w:after="240"/>
        <w:jc w:val="both"/>
      </w:pPr>
      <w:r>
        <w:t xml:space="preserve">De la tabla clientes se cambió el nombre de la columna Fecha registro, ya que estaba mal escrita, También se modificaron los datos numéricos como tales y los </w:t>
      </w:r>
      <w:proofErr w:type="spellStart"/>
      <w:r>
        <w:t>strings</w:t>
      </w:r>
      <w:proofErr w:type="spellEnd"/>
      <w:r>
        <w:t xml:space="preserve"> como texto.</w:t>
      </w:r>
    </w:p>
    <w:p w14:paraId="47CB26DE" w14:textId="77777777" w:rsidR="005C2736" w:rsidRDefault="00000000" w:rsidP="008B1AFB">
      <w:pPr>
        <w:spacing w:before="240" w:after="240"/>
        <w:jc w:val="both"/>
        <w:rPr>
          <w:b/>
          <w:bCs/>
        </w:rPr>
      </w:pPr>
      <w:r>
        <w:rPr>
          <w:b/>
          <w:bCs/>
        </w:rPr>
        <w:t xml:space="preserve">2.2 </w:t>
      </w:r>
      <w:r>
        <w:rPr>
          <w:b/>
          <w:bCs/>
        </w:rPr>
        <w:tab/>
        <w:t>Integración de los conjuntos de datos:</w:t>
      </w:r>
    </w:p>
    <w:p w14:paraId="579EF7F3" w14:textId="77777777" w:rsidR="005C2736" w:rsidRDefault="00000000" w:rsidP="008B1AFB">
      <w:pPr>
        <w:spacing w:before="240" w:after="240"/>
        <w:jc w:val="both"/>
      </w:pPr>
      <w:r>
        <w:lastRenderedPageBreak/>
        <w:t xml:space="preserve">Se utilizaron funciones como BUSCARV para crear nuevas columnas a partir de los ID de cada tabla. De esta manera creamos las columnas: </w:t>
      </w:r>
      <w:proofErr w:type="spellStart"/>
      <w:r>
        <w:t>Total_ventas</w:t>
      </w:r>
      <w:proofErr w:type="spellEnd"/>
      <w:r>
        <w:t xml:space="preserve">, Regiones y </w:t>
      </w:r>
      <w:proofErr w:type="spellStart"/>
      <w:r>
        <w:t>Metodos_pago_texto</w:t>
      </w:r>
      <w:proofErr w:type="spellEnd"/>
      <w:r>
        <w:t xml:space="preserve">. </w:t>
      </w:r>
    </w:p>
    <w:p w14:paraId="089B154D" w14:textId="77777777" w:rsidR="005C2736" w:rsidRDefault="00000000" w:rsidP="008B1AFB">
      <w:pPr>
        <w:jc w:val="both"/>
      </w:pPr>
      <w:r>
        <w:t xml:space="preserve">Adicionalmente, se utilizó la función BUSCARV para incorporar la columna Categoría a la tabla de ventas, cruzando por </w:t>
      </w:r>
      <w:proofErr w:type="spellStart"/>
      <w:r>
        <w:t>ID_Producto</w:t>
      </w:r>
      <w:proofErr w:type="spellEnd"/>
      <w:r>
        <w:t xml:space="preserve"> contra la pestaña productos, replicando el mismo criterio de integración ya aplicado para Regiones y </w:t>
      </w:r>
      <w:proofErr w:type="spellStart"/>
      <w:r>
        <w:t>Metodos_pago_texto</w:t>
      </w:r>
      <w:proofErr w:type="spellEnd"/>
      <w:r>
        <w:t>.</w:t>
      </w:r>
    </w:p>
    <w:p w14:paraId="408CCD4A" w14:textId="77777777" w:rsidR="005C2736" w:rsidRDefault="005C2736" w:rsidP="008B1AFB">
      <w:pPr>
        <w:spacing w:before="240" w:after="240"/>
        <w:jc w:val="both"/>
      </w:pPr>
    </w:p>
    <w:p w14:paraId="74AC7110" w14:textId="77777777" w:rsidR="005C2736" w:rsidRDefault="005C2736" w:rsidP="008B1AFB">
      <w:pPr>
        <w:spacing w:before="240" w:after="240"/>
        <w:jc w:val="both"/>
      </w:pPr>
    </w:p>
    <w:p w14:paraId="167A6335" w14:textId="77777777" w:rsidR="005C2736" w:rsidRDefault="005C2736" w:rsidP="008B1AFB">
      <w:pPr>
        <w:spacing w:before="240" w:after="240"/>
        <w:jc w:val="both"/>
      </w:pPr>
    </w:p>
    <w:p w14:paraId="703CAD69" w14:textId="77777777" w:rsidR="005C2736" w:rsidRDefault="005C2736" w:rsidP="008B1AFB">
      <w:pPr>
        <w:spacing w:before="240" w:after="240"/>
        <w:jc w:val="both"/>
      </w:pPr>
    </w:p>
    <w:p w14:paraId="62D58815" w14:textId="77777777" w:rsidR="005C2736" w:rsidRDefault="005C2736" w:rsidP="008B1AFB">
      <w:pPr>
        <w:jc w:val="both"/>
      </w:pPr>
    </w:p>
    <w:p w14:paraId="34D2800C" w14:textId="77777777" w:rsidR="005C2736" w:rsidRDefault="00000000" w:rsidP="008B1AFB">
      <w:pPr>
        <w:jc w:val="both"/>
      </w:pPr>
      <w:r>
        <w:rPr>
          <w:b/>
        </w:rPr>
        <w:t>2.3 Análisis exploratorio inicial:</w:t>
      </w:r>
    </w:p>
    <w:p w14:paraId="0A870DDA" w14:textId="77777777" w:rsidR="005C2736" w:rsidRDefault="005C2736" w:rsidP="008B1AFB">
      <w:pPr>
        <w:jc w:val="both"/>
      </w:pPr>
    </w:p>
    <w:p w14:paraId="7A2B0E3A" w14:textId="77777777" w:rsidR="005C2736" w:rsidRDefault="00000000" w:rsidP="008B1AFB">
      <w:pPr>
        <w:jc w:val="both"/>
      </w:pPr>
      <w:r>
        <w:t>Se construyeron tablas dinámicas en Google Sheets a partir del conjunto de datos integrado, agrupando el total de ventas por mes, por categoría y por región, filtrando únicamente las transacciones en estado “Completa”.</w:t>
      </w:r>
    </w:p>
    <w:p w14:paraId="60CDC373" w14:textId="77777777" w:rsidR="005C2736" w:rsidRDefault="00000000" w:rsidP="008B1AFB">
      <w:pPr>
        <w:jc w:val="both"/>
      </w:pPr>
      <w:r>
        <w:t>Sobre la serie de ventas mensuales se calcularon los siguientes estadísticos descriptivos, utilizando las funciones nativas de Google Sheets:</w:t>
      </w:r>
    </w:p>
    <w:p w14:paraId="50D000B2" w14:textId="77777777" w:rsidR="005C2736" w:rsidRDefault="00000000" w:rsidP="008B1AFB">
      <w:pPr>
        <w:jc w:val="both"/>
      </w:pPr>
      <w:r>
        <w:t>- Media: =</w:t>
      </w:r>
      <w:proofErr w:type="gramStart"/>
      <w:r>
        <w:t>PROMEDIO(</w:t>
      </w:r>
      <w:proofErr w:type="gramEnd"/>
      <w:r>
        <w:t>) → $7.310,82</w:t>
      </w:r>
    </w:p>
    <w:p w14:paraId="56B79869" w14:textId="77777777" w:rsidR="005C2736" w:rsidRDefault="00000000" w:rsidP="008B1AFB">
      <w:pPr>
        <w:jc w:val="both"/>
      </w:pPr>
      <w:r>
        <w:t>- Mediana: =</w:t>
      </w:r>
      <w:proofErr w:type="gramStart"/>
      <w:r>
        <w:t>MEDIANA(</w:t>
      </w:r>
      <w:proofErr w:type="gramEnd"/>
      <w:r>
        <w:t>) → $7.730,65</w:t>
      </w:r>
    </w:p>
    <w:p w14:paraId="5C5ED5A0" w14:textId="77777777" w:rsidR="005C2736" w:rsidRDefault="00000000" w:rsidP="008B1AFB">
      <w:pPr>
        <w:jc w:val="both"/>
      </w:pPr>
      <w:r>
        <w:t>- Moda: =</w:t>
      </w:r>
      <w:proofErr w:type="gramStart"/>
      <w:r>
        <w:t>MODA(</w:t>
      </w:r>
      <w:proofErr w:type="gramEnd"/>
      <w:r>
        <w:t>) → No definida (#N/A), dado que los 12 valores mensuales son todos distintos entre sí; no existe un monto que se repita.</w:t>
      </w:r>
    </w:p>
    <w:p w14:paraId="3D364107" w14:textId="77777777" w:rsidR="005C2736" w:rsidRDefault="00000000" w:rsidP="008B1AFB">
      <w:pPr>
        <w:jc w:val="both"/>
      </w:pPr>
      <w:r>
        <w:t>- Desviación estándar: =</w:t>
      </w:r>
      <w:proofErr w:type="gramStart"/>
      <w:r>
        <w:t>DESVEST(</w:t>
      </w:r>
      <w:proofErr w:type="gramEnd"/>
      <w:r>
        <w:t>) → $2.299,81</w:t>
      </w:r>
    </w:p>
    <w:p w14:paraId="65698494" w14:textId="77777777" w:rsidR="005C2736" w:rsidRDefault="00000000" w:rsidP="008B1AFB">
      <w:pPr>
        <w:jc w:val="both"/>
      </w:pPr>
      <w:r>
        <w:t>Se generaron dos gráficos a partir de estas tablas dinámicas: un gráfico de líneas con las ventas totales por mes, y un gráfico de barras con las ventas totales por categoría.</w:t>
      </w:r>
    </w:p>
    <w:p w14:paraId="1C101635" w14:textId="77777777" w:rsidR="005C2736" w:rsidRDefault="00000000" w:rsidP="008B1AFB">
      <w:pPr>
        <w:jc w:val="both"/>
      </w:pPr>
      <w:r>
        <w:t>Breve análisis de los resultados: las ventas mensuales muestran un comportamiento estable a lo largo del año, con una desviación estándar relativamente baja respecto a la media. El mes de enero presenta un valor atípicamente bajo ($255,98), explicado por una carga incompleta de datos para ese período (un único registro), por lo que no debe interpretarse como una caída real de ventas. Excluyendo enero, el resto de los meses se ubica entre $6.965 y $8.869, con diciembre como el mes de mayor facturación. A nivel de categorías, Carnicería concentra la mayor proporción de ingresos, casi duplicando a la segunda categoría (Lácteos).</w:t>
      </w:r>
    </w:p>
    <w:p w14:paraId="3030AD12" w14:textId="77777777" w:rsidR="005C2736" w:rsidRDefault="005C2736" w:rsidP="008B1AFB">
      <w:pPr>
        <w:jc w:val="both"/>
      </w:pPr>
    </w:p>
    <w:p w14:paraId="566C5FC2" w14:textId="77777777" w:rsidR="005C2736" w:rsidRDefault="00000000" w:rsidP="008B1AFB">
      <w:pPr>
        <w:jc w:val="both"/>
      </w:pPr>
      <w:r>
        <w:rPr>
          <w:b/>
        </w:rPr>
        <w:t>2.4 Informe preliminar:</w:t>
      </w:r>
    </w:p>
    <w:p w14:paraId="16A2759D" w14:textId="77777777" w:rsidR="005C2736" w:rsidRDefault="005C2736" w:rsidP="008B1AFB">
      <w:pPr>
        <w:jc w:val="both"/>
      </w:pPr>
    </w:p>
    <w:p w14:paraId="7186BD3B" w14:textId="77777777" w:rsidR="005C2736" w:rsidRDefault="00000000" w:rsidP="008B1AFB">
      <w:pPr>
        <w:jc w:val="both"/>
      </w:pPr>
      <w:r>
        <w:t>Se construyó un informe dentro de Google Sheets (pestaña “Informe preliminar”) que integra las tablas dinámicas de ventas por mes, por categoría y por región, junto con los gráficos de líneas y de barras correspondientes y los estadísticos descriptivos calculados en el punto anterior.</w:t>
      </w:r>
    </w:p>
    <w:p w14:paraId="59167F49" w14:textId="77777777" w:rsidR="005C2736" w:rsidRDefault="00000000" w:rsidP="008B1AFB">
      <w:pPr>
        <w:jc w:val="both"/>
      </w:pPr>
      <w:r>
        <w:t xml:space="preserve">Para su construcción se aplicaron principios de visualización efectiva: uso de un único color por serie de datos, ordenamiento descendente de las categorías según su magnitud (en lugar de un orden arbitrario), y elección del tipo de gráfico según la naturaleza del dato — línea para la evolución temporal, barras para la comparación de magnitudes discretas entre </w:t>
      </w:r>
      <w:r>
        <w:lastRenderedPageBreak/>
        <w:t>categorías — evitando el uso de gráficos circulares o tridimensionales que dificultan la lectura precisa de los valores.</w:t>
      </w:r>
    </w:p>
    <w:p w14:paraId="4F1E014A" w14:textId="77777777" w:rsidR="005C2736" w:rsidRDefault="00000000" w:rsidP="008B1AFB">
      <w:pPr>
        <w:jc w:val="both"/>
      </w:pPr>
      <w:r>
        <w:t>_________________________________________________________________________</w:t>
      </w:r>
    </w:p>
    <w:p w14:paraId="4D2451B1" w14:textId="77777777" w:rsidR="005C2736" w:rsidRDefault="00000000" w:rsidP="008B1AFB">
      <w:pPr>
        <w:jc w:val="both"/>
      </w:pPr>
      <w:r>
        <w:rPr>
          <w:b/>
        </w:rPr>
        <w:t xml:space="preserve">Etapa 3: </w:t>
      </w:r>
      <w:proofErr w:type="spellStart"/>
      <w:r>
        <w:rPr>
          <w:b/>
        </w:rPr>
        <w:t>Dashboards</w:t>
      </w:r>
      <w:proofErr w:type="spellEnd"/>
      <w:r>
        <w:rPr>
          <w:b/>
        </w:rPr>
        <w:t xml:space="preserve"> y Visualización Interactiva</w:t>
      </w:r>
    </w:p>
    <w:p w14:paraId="055EDD07" w14:textId="77777777" w:rsidR="005C2736" w:rsidRDefault="005C2736" w:rsidP="008B1AFB">
      <w:pPr>
        <w:jc w:val="both"/>
      </w:pPr>
    </w:p>
    <w:p w14:paraId="23521456" w14:textId="77777777" w:rsidR="005C2736" w:rsidRDefault="00000000" w:rsidP="008B1AFB">
      <w:pPr>
        <w:jc w:val="both"/>
      </w:pPr>
      <w:r>
        <w:rPr>
          <w:b/>
        </w:rPr>
        <w:t>3.1 Integración del informe con Looker Studio:</w:t>
      </w:r>
    </w:p>
    <w:p w14:paraId="1EE2E2F6" w14:textId="77777777" w:rsidR="005C2736" w:rsidRDefault="005C2736" w:rsidP="008B1AFB">
      <w:pPr>
        <w:jc w:val="both"/>
      </w:pPr>
    </w:p>
    <w:p w14:paraId="0129C84B" w14:textId="77777777" w:rsidR="005C2736" w:rsidRDefault="00000000" w:rsidP="008B1AFB">
      <w:pPr>
        <w:jc w:val="both"/>
      </w:pPr>
      <w:r>
        <w:t>Se conectó la pestaña “</w:t>
      </w:r>
      <w:proofErr w:type="spellStart"/>
      <w:r>
        <w:t>ventas_integrado</w:t>
      </w:r>
      <w:proofErr w:type="spellEnd"/>
      <w:r>
        <w:t xml:space="preserve">” de Google Sheets como fuente de datos en Looker Studio. Antes de crear el informe, se corrigieron los tipos de campo detectados automáticamente: Texto para </w:t>
      </w:r>
      <w:proofErr w:type="spellStart"/>
      <w:r>
        <w:t>ID_Venta</w:t>
      </w:r>
      <w:proofErr w:type="spellEnd"/>
      <w:r>
        <w:t xml:space="preserve">, </w:t>
      </w:r>
      <w:proofErr w:type="spellStart"/>
      <w:r>
        <w:t>ID_Cliente</w:t>
      </w:r>
      <w:proofErr w:type="spellEnd"/>
      <w:r>
        <w:t xml:space="preserve">, </w:t>
      </w:r>
      <w:proofErr w:type="spellStart"/>
      <w:r>
        <w:t>ID_Producto</w:t>
      </w:r>
      <w:proofErr w:type="spellEnd"/>
      <w:r>
        <w:t xml:space="preserve">, </w:t>
      </w:r>
      <w:proofErr w:type="spellStart"/>
      <w:r>
        <w:t>ID_Método_Pago</w:t>
      </w:r>
      <w:proofErr w:type="spellEnd"/>
      <w:r>
        <w:t xml:space="preserve"> y Año; Fecha para Fecha; Número para </w:t>
      </w:r>
      <w:proofErr w:type="spellStart"/>
      <w:r>
        <w:t>Total_ventas</w:t>
      </w:r>
      <w:proofErr w:type="spellEnd"/>
      <w:r>
        <w:t xml:space="preserve">, </w:t>
      </w:r>
      <w:proofErr w:type="spellStart"/>
      <w:r>
        <w:t>Precio_Unit</w:t>
      </w:r>
      <w:proofErr w:type="spellEnd"/>
      <w:r>
        <w:t xml:space="preserve"> y Cantidad; y Texto para el resto de las dimensiones (Categoría, Region, </w:t>
      </w:r>
      <w:proofErr w:type="spellStart"/>
      <w:r>
        <w:t>Metodo_pago_texto</w:t>
      </w:r>
      <w:proofErr w:type="spellEnd"/>
      <w:r>
        <w:t xml:space="preserve">, Estado, </w:t>
      </w:r>
      <w:proofErr w:type="spellStart"/>
      <w:r>
        <w:t>NombreCliente</w:t>
      </w:r>
      <w:proofErr w:type="spellEnd"/>
      <w:r>
        <w:t>, Nombre del producto). Esta corrección previa evitó errores de agregación (sumas incorrectas) al momento de construir los primeros gráficos.</w:t>
      </w:r>
    </w:p>
    <w:p w14:paraId="3AF59F51" w14:textId="77777777" w:rsidR="005C2736" w:rsidRDefault="005C2736" w:rsidP="008B1AFB">
      <w:pPr>
        <w:jc w:val="both"/>
      </w:pPr>
    </w:p>
    <w:p w14:paraId="7BEDB77F" w14:textId="77777777" w:rsidR="005C2736" w:rsidRDefault="00000000" w:rsidP="008B1AFB">
      <w:pPr>
        <w:jc w:val="both"/>
      </w:pPr>
      <w:r>
        <w:rPr>
          <w:b/>
        </w:rPr>
        <w:t xml:space="preserve">3.2 </w:t>
      </w:r>
      <w:proofErr w:type="spellStart"/>
      <w:r>
        <w:rPr>
          <w:b/>
        </w:rPr>
        <w:t>Dashboard</w:t>
      </w:r>
      <w:proofErr w:type="spellEnd"/>
      <w:r>
        <w:rPr>
          <w:b/>
        </w:rPr>
        <w:t xml:space="preserve"> de métricas clave:</w:t>
      </w:r>
    </w:p>
    <w:p w14:paraId="69A57CF8" w14:textId="77777777" w:rsidR="005C2736" w:rsidRDefault="005C2736" w:rsidP="008B1AFB">
      <w:pPr>
        <w:jc w:val="both"/>
      </w:pPr>
    </w:p>
    <w:p w14:paraId="0CB81D6C" w14:textId="77777777" w:rsidR="005C2736" w:rsidRDefault="00000000" w:rsidP="008B1AFB">
      <w:pPr>
        <w:jc w:val="both"/>
      </w:pPr>
      <w:r>
        <w:t xml:space="preserve">Se aplicó un filtro general a nivel de página (Estado = Completa), excluyendo las transacciones en estado Pendiente y Cancelada de todos los componentes del </w:t>
      </w:r>
      <w:proofErr w:type="spellStart"/>
      <w:r>
        <w:t>dashboard</w:t>
      </w:r>
      <w:proofErr w:type="spellEnd"/>
      <w:r>
        <w:t>. Sobre ese conjunto filtrado se construyeron los siguientes elementos:</w:t>
      </w:r>
    </w:p>
    <w:p w14:paraId="0E4D7E39" w14:textId="77777777" w:rsidR="005C2736" w:rsidRDefault="00000000" w:rsidP="008B1AFB">
      <w:pPr>
        <w:jc w:val="both"/>
      </w:pPr>
      <w:r>
        <w:t>- Tres cuadros de resultados (</w:t>
      </w:r>
      <w:proofErr w:type="spellStart"/>
      <w:r>
        <w:t>KPIs</w:t>
      </w:r>
      <w:proofErr w:type="spellEnd"/>
      <w:r>
        <w:t>): Ingresos totales (</w:t>
      </w:r>
      <w:proofErr w:type="spellStart"/>
      <w:r>
        <w:t>Total_ventas</w:t>
      </w:r>
      <w:proofErr w:type="spellEnd"/>
      <w:r>
        <w:t xml:space="preserve">, suma → $87.729,89), Transacciones (Record Count → 2.523) y </w:t>
      </w:r>
      <w:proofErr w:type="gramStart"/>
      <w:r>
        <w:t>Ticket</w:t>
      </w:r>
      <w:proofErr w:type="gramEnd"/>
      <w:r>
        <w:t xml:space="preserve"> promedio (</w:t>
      </w:r>
      <w:proofErr w:type="spellStart"/>
      <w:r>
        <w:t>Total_ventas</w:t>
      </w:r>
      <w:proofErr w:type="spellEnd"/>
      <w:r>
        <w:t>, promedio → $34,77).</w:t>
      </w:r>
    </w:p>
    <w:p w14:paraId="4DEFF6D8" w14:textId="77777777" w:rsidR="005C2736" w:rsidRDefault="00000000" w:rsidP="008B1AFB">
      <w:pPr>
        <w:jc w:val="both"/>
      </w:pPr>
      <w:r>
        <w:t xml:space="preserve">- Un gráfico de barras: dimensión Categoría, métrica </w:t>
      </w:r>
      <w:proofErr w:type="spellStart"/>
      <w:r>
        <w:t>Total_ventas</w:t>
      </w:r>
      <w:proofErr w:type="spellEnd"/>
      <w:r>
        <w:t xml:space="preserve"> (suma), ordenado en forma descendente. Carnicería lidera con $23.483, mientras que Conservas es la categoría con menor facturación ($4.265).</w:t>
      </w:r>
    </w:p>
    <w:p w14:paraId="09DDA7C5" w14:textId="77777777" w:rsidR="005C2736" w:rsidRDefault="00000000" w:rsidP="008B1AFB">
      <w:pPr>
        <w:jc w:val="both"/>
      </w:pPr>
      <w:r>
        <w:t xml:space="preserve">- Un gráfico de serie temporal: dimensión Mes, métrica </w:t>
      </w:r>
      <w:proofErr w:type="spellStart"/>
      <w:r>
        <w:t>Total_ventas</w:t>
      </w:r>
      <w:proofErr w:type="spellEnd"/>
      <w:r>
        <w:t xml:space="preserve"> (suma). Muestra una facturación estable entre $6.965 y $8.869 desde febrero hasta diciembre, con un pico en diciembre. Enero se excluye de la lectura de tendencia por tratarse de un mes con carga de datos incompleta (un único registro).</w:t>
      </w:r>
    </w:p>
    <w:p w14:paraId="1779E83E" w14:textId="77777777" w:rsidR="005C2736" w:rsidRDefault="00000000" w:rsidP="008B1AFB">
      <w:pPr>
        <w:jc w:val="both"/>
      </w:pPr>
      <w:r>
        <w:t xml:space="preserve">- Una tabla: dimensiones Region y </w:t>
      </w:r>
      <w:proofErr w:type="spellStart"/>
      <w:r>
        <w:t>Metodo_pago_texto</w:t>
      </w:r>
      <w:proofErr w:type="spellEnd"/>
      <w:r>
        <w:t xml:space="preserve">, métrica </w:t>
      </w:r>
      <w:proofErr w:type="spellStart"/>
      <w:r>
        <w:t>Total_ventas</w:t>
      </w:r>
      <w:proofErr w:type="spellEnd"/>
      <w:r>
        <w:t xml:space="preserve"> (suma). La combinación con mayor facturación es Buenos Aires + Mercado Pago ($8.885,97).</w:t>
      </w:r>
    </w:p>
    <w:p w14:paraId="3ACF446D" w14:textId="77777777" w:rsidR="005C2736" w:rsidRDefault="005C2736" w:rsidP="008B1AFB">
      <w:pPr>
        <w:jc w:val="both"/>
      </w:pPr>
    </w:p>
    <w:p w14:paraId="3C80E263" w14:textId="77777777" w:rsidR="005C2736" w:rsidRDefault="00000000" w:rsidP="008B1AFB">
      <w:pPr>
        <w:jc w:val="both"/>
        <w:rPr>
          <w:b/>
          <w:bCs/>
        </w:rPr>
      </w:pPr>
      <w:r w:rsidRPr="008B1AFB">
        <w:rPr>
          <w:b/>
          <w:bCs/>
        </w:rPr>
        <w:t>Propósito de cada gráfico:</w:t>
      </w:r>
    </w:p>
    <w:p w14:paraId="418CF607" w14:textId="77777777" w:rsidR="008B1AFB" w:rsidRPr="008B1AFB" w:rsidRDefault="008B1AFB" w:rsidP="008B1AFB">
      <w:pPr>
        <w:jc w:val="both"/>
        <w:rPr>
          <w:b/>
          <w:bCs/>
        </w:rPr>
      </w:pPr>
    </w:p>
    <w:p w14:paraId="3779D32C" w14:textId="77777777" w:rsidR="005C2736" w:rsidRDefault="00000000" w:rsidP="008B1AFB">
      <w:pPr>
        <w:jc w:val="both"/>
      </w:pPr>
      <w:r>
        <w:t>- Cuadros de resultados: permiten una lectura instantánea del estado general del negocio (ingresos, volumen de transacciones y valor promedio por venta) sin necesidad de interpretar ejes ni series.</w:t>
      </w:r>
    </w:p>
    <w:p w14:paraId="57A70557" w14:textId="77777777" w:rsidR="005C2736" w:rsidRDefault="00000000" w:rsidP="008B1AFB">
      <w:pPr>
        <w:jc w:val="both"/>
      </w:pPr>
      <w:r>
        <w:t>- Gráfico de barras: compara magnitudes discretas entre categorías. El orden descendente permite identificar de un vistazo que Carnicería concentra casi el doble de ingresos que la segunda categoría (Lácteos).</w:t>
      </w:r>
    </w:p>
    <w:p w14:paraId="3D84C9F3" w14:textId="77777777" w:rsidR="005C2736" w:rsidRDefault="00000000" w:rsidP="008B1AFB">
      <w:pPr>
        <w:jc w:val="both"/>
      </w:pPr>
      <w:r>
        <w:t>- Gráfico de serie temporal: muestra la tendencia y estacionalidad de las ventas a lo largo del año, algo que un gráfico de barras o una tabla no comunican con la misma claridad.</w:t>
      </w:r>
    </w:p>
    <w:p w14:paraId="2A4445F9" w14:textId="77777777" w:rsidR="005C2736" w:rsidRDefault="00000000" w:rsidP="008B1AFB">
      <w:pPr>
        <w:jc w:val="both"/>
      </w:pPr>
      <w:r>
        <w:t>- Tabla: permite cruzar dos dimensiones a la vez (región y método de pago) con el valor exacto de cada combinación, con un nivel de precisión que un gráfico visual no puede ofrecer para tantas combinaciones simultáneas.</w:t>
      </w:r>
    </w:p>
    <w:p w14:paraId="183D1B01" w14:textId="77777777" w:rsidR="005C2736" w:rsidRDefault="005C2736" w:rsidP="008B1AFB">
      <w:pPr>
        <w:jc w:val="both"/>
      </w:pPr>
    </w:p>
    <w:p w14:paraId="7B41BC04" w14:textId="77777777" w:rsidR="005C2736" w:rsidRDefault="00000000" w:rsidP="008B1AFB">
      <w:pPr>
        <w:jc w:val="both"/>
      </w:pPr>
      <w:r>
        <w:rPr>
          <w:b/>
        </w:rPr>
        <w:t>3.3 Interactividad:</w:t>
      </w:r>
    </w:p>
    <w:p w14:paraId="23D6F0AC" w14:textId="77777777" w:rsidR="005C2736" w:rsidRDefault="005C2736" w:rsidP="008B1AFB">
      <w:pPr>
        <w:jc w:val="both"/>
      </w:pPr>
    </w:p>
    <w:p w14:paraId="07DBBCD9" w14:textId="77777777" w:rsidR="005C2736" w:rsidRDefault="00000000" w:rsidP="008B1AFB">
      <w:pPr>
        <w:jc w:val="both"/>
      </w:pPr>
      <w:r>
        <w:t xml:space="preserve">Se agregaron tres controles en la Página 1 del informe: dos listas desplegables (Categoría y Región) y un control de periodo (Fecha). Los controles de Categoría y Región filtran correctamente la totalidad de los gráficos del </w:t>
      </w:r>
      <w:proofErr w:type="spellStart"/>
      <w:r>
        <w:t>dashboard</w:t>
      </w:r>
      <w:proofErr w:type="spellEnd"/>
      <w:r>
        <w:t>. El control de Fecha no logró vincularse al rango de fechas por defecto de la fuente de datos, por lo que su selección no filtra los gráficos; se trata de una limitación de configuración que quedó pendiente de resolución.</w:t>
      </w:r>
    </w:p>
    <w:p w14:paraId="13E87374" w14:textId="77777777" w:rsidR="005C2736" w:rsidRDefault="005C2736" w:rsidP="008B1AFB">
      <w:pPr>
        <w:jc w:val="both"/>
      </w:pPr>
    </w:p>
    <w:p w14:paraId="57A1D978" w14:textId="77777777" w:rsidR="005C2736" w:rsidRDefault="00000000" w:rsidP="008B1AFB">
      <w:pPr>
        <w:jc w:val="both"/>
      </w:pPr>
      <w:r>
        <w:t xml:space="preserve">Dado que el informe es evaluado de forma asincrónica (sin instancia de presentación en vivo frente al profesor), se creó una segunda página dentro del mismo informe (“Ejemplos de interactividad”), con gráficos a los que se </w:t>
      </w:r>
      <w:proofErr w:type="gramStart"/>
      <w:r>
        <w:t>les</w:t>
      </w:r>
      <w:proofErr w:type="gramEnd"/>
      <w:r>
        <w:t xml:space="preserve"> aplicó un filtro fijo a nivel de gráfico individual (no a nivel de página). Esto permite documentar de forma permanente el efecto de distintas configuraciones de filtro, sin depender de que quien vea el informe manipule los controles:</w:t>
      </w:r>
    </w:p>
    <w:p w14:paraId="7720B080" w14:textId="57C73B51" w:rsidR="005C2736" w:rsidRDefault="00000000" w:rsidP="008B1AFB">
      <w:pPr>
        <w:jc w:val="both"/>
      </w:pPr>
      <w:r>
        <w:t xml:space="preserve">- Ejemplo </w:t>
      </w:r>
      <w:proofErr w:type="gramStart"/>
      <w:r>
        <w:t>1  Región</w:t>
      </w:r>
      <w:proofErr w:type="gramEnd"/>
      <w:r>
        <w:t xml:space="preserve"> = NOA: el </w:t>
      </w:r>
      <w:proofErr w:type="gramStart"/>
      <w:r>
        <w:t>ticket</w:t>
      </w:r>
      <w:proofErr w:type="gramEnd"/>
      <w:r>
        <w:t xml:space="preserve"> promedio sube a $40,49 (frente a $34,77 del total general), mientras que el total de ingresos de la región es el más bajo de todas las regiones del país. Esto indica que NOA tiene bajo volumen de ventas, pero un mayor valor promedio por transacción.</w:t>
      </w:r>
    </w:p>
    <w:p w14:paraId="3C200B85" w14:textId="41C0C50F" w:rsidR="005C2736" w:rsidRDefault="00000000" w:rsidP="008B1AFB">
      <w:pPr>
        <w:jc w:val="both"/>
      </w:pPr>
      <w:r>
        <w:t>- Ejemplo 2</w:t>
      </w:r>
      <w:r w:rsidR="008B1AFB">
        <w:t xml:space="preserve"> </w:t>
      </w:r>
      <w:r>
        <w:t xml:space="preserve">Categoría = Carnicería: la tabla de Región × Método de pago, filtrada a esta categoría, muestra que Buenos Aires + Mercado Pago es nuevamente la combinación con mayor facturación ($3.090,35), replicando el mismo patrón que se observa en el </w:t>
      </w:r>
      <w:proofErr w:type="spellStart"/>
      <w:r>
        <w:t>dashboard</w:t>
      </w:r>
      <w:proofErr w:type="spellEnd"/>
      <w:r>
        <w:t xml:space="preserve"> general sin filtrar.</w:t>
      </w:r>
    </w:p>
    <w:p w14:paraId="3466D23F" w14:textId="1B549C0E" w:rsidR="005C2736" w:rsidRDefault="00000000" w:rsidP="008B1AFB">
      <w:pPr>
        <w:jc w:val="both"/>
      </w:pPr>
      <w:r>
        <w:t xml:space="preserve">- Ejemplo </w:t>
      </w:r>
      <w:proofErr w:type="gramStart"/>
      <w:r>
        <w:t>3  Categoría</w:t>
      </w:r>
      <w:proofErr w:type="gramEnd"/>
      <w:r>
        <w:t xml:space="preserve"> = Frutas y Verduras + Región = Buenos Aires (dos filtros combinados sobre el mismo gráfico, aplicados con lógica AND): arroja un total de $2.329. Este ejemplo evidencia que los filtros pueden combinarse entre sí para segmentar el análisis con un nivel de detalle que un informe estático no permite.</w:t>
      </w:r>
    </w:p>
    <w:p w14:paraId="679C8810" w14:textId="77777777" w:rsidR="005C2736" w:rsidRDefault="005C2736" w:rsidP="008B1AFB">
      <w:pPr>
        <w:jc w:val="both"/>
      </w:pPr>
    </w:p>
    <w:p w14:paraId="7B1CAB18" w14:textId="77777777" w:rsidR="005C2736" w:rsidRDefault="00000000" w:rsidP="008B1AFB">
      <w:pPr>
        <w:jc w:val="both"/>
      </w:pPr>
      <w:r>
        <w:rPr>
          <w:b/>
        </w:rPr>
        <w:t>3.4 Análisis de gráficos de ventas de orígenes variados:</w:t>
      </w:r>
    </w:p>
    <w:p w14:paraId="15DCBD65" w14:textId="77777777" w:rsidR="005C2736" w:rsidRDefault="005C2736" w:rsidP="008B1AFB">
      <w:pPr>
        <w:jc w:val="both"/>
      </w:pPr>
    </w:p>
    <w:p w14:paraId="505A80F7" w14:textId="77777777" w:rsidR="005C2736" w:rsidRDefault="00000000" w:rsidP="008B1AFB">
      <w:pPr>
        <w:jc w:val="both"/>
      </w:pPr>
      <w:r>
        <w:t xml:space="preserve">Se compararon tres gráficos de ventas construidos a partir de tres fuentes de datos distintas (no solo tres herramientas sobre el mismo </w:t>
      </w:r>
      <w:proofErr w:type="spellStart"/>
      <w:r>
        <w:t>dataset</w:t>
      </w:r>
      <w:proofErr w:type="spellEnd"/>
      <w:r>
        <w:t>):</w:t>
      </w:r>
    </w:p>
    <w:p w14:paraId="3B126331" w14:textId="77777777" w:rsidR="005C2736" w:rsidRDefault="00000000" w:rsidP="008B1AFB">
      <w:pPr>
        <w:jc w:val="both"/>
      </w:pPr>
      <w:r>
        <w:t>- Gráfico propio: barras por Categoría (</w:t>
      </w:r>
      <w:proofErr w:type="spellStart"/>
      <w:r>
        <w:t>Total_ventas</w:t>
      </w:r>
      <w:proofErr w:type="spellEnd"/>
      <w:r>
        <w:t xml:space="preserve">, suma) del </w:t>
      </w:r>
      <w:proofErr w:type="spellStart"/>
      <w:r>
        <w:t>dashboard</w:t>
      </w:r>
      <w:proofErr w:type="spellEnd"/>
      <w:r>
        <w:t xml:space="preserve"> de Looker Studio, construido sobre </w:t>
      </w:r>
      <w:proofErr w:type="spellStart"/>
      <w:r>
        <w:t>ventas_integrado</w:t>
      </w:r>
      <w:proofErr w:type="spellEnd"/>
      <w:r>
        <w:t xml:space="preserve"> (Etapa 3).</w:t>
      </w:r>
    </w:p>
    <w:p w14:paraId="4B741203" w14:textId="77777777" w:rsidR="005C2736" w:rsidRDefault="00000000" w:rsidP="008B1AFB">
      <w:pPr>
        <w:jc w:val="both"/>
      </w:pPr>
      <w:r>
        <w:t xml:space="preserve">- Gráfico circular en Excel: ventas por producto del </w:t>
      </w:r>
      <w:proofErr w:type="spellStart"/>
      <w:r>
        <w:t>dataset</w:t>
      </w:r>
      <w:proofErr w:type="spellEnd"/>
      <w:r>
        <w:t xml:space="preserve"> “ventas </w:t>
      </w:r>
      <w:proofErr w:type="spellStart"/>
      <w:r>
        <w:t>fast</w:t>
      </w:r>
      <w:proofErr w:type="spellEnd"/>
      <w:r>
        <w:t xml:space="preserve"> food.xlsx” (</w:t>
      </w:r>
      <w:proofErr w:type="spellStart"/>
      <w:r>
        <w:t>Kaggle</w:t>
      </w:r>
      <w:proofErr w:type="spellEnd"/>
      <w:r>
        <w:t>), con la configuración por defecto de Excel, sin modificar colores, orden ni etiquetas.</w:t>
      </w:r>
    </w:p>
    <w:p w14:paraId="3EE3D44F" w14:textId="77777777" w:rsidR="005C2736" w:rsidRDefault="00000000" w:rsidP="008B1AFB">
      <w:pPr>
        <w:jc w:val="both"/>
      </w:pPr>
      <w:r>
        <w:t xml:space="preserve">- Gráfico de barras en Google Sheets: ventas por país del </w:t>
      </w:r>
      <w:proofErr w:type="spellStart"/>
      <w:r>
        <w:t>dataset</w:t>
      </w:r>
      <w:proofErr w:type="spellEnd"/>
      <w:r>
        <w:t xml:space="preserve"> “Chocolate Sales.csv” (</w:t>
      </w:r>
      <w:proofErr w:type="spellStart"/>
      <w:r>
        <w:t>Kaggle</w:t>
      </w:r>
      <w:proofErr w:type="spellEnd"/>
      <w:r>
        <w:t>), construido con un gráfico de columnas estándar sobre una tabla dinámica agrupada por país.</w:t>
      </w:r>
    </w:p>
    <w:p w14:paraId="45549EA9" w14:textId="77777777" w:rsidR="005C2736" w:rsidRDefault="005C2736" w:rsidP="008B1AFB">
      <w:pPr>
        <w:jc w:val="both"/>
      </w:pPr>
    </w:p>
    <w:p w14:paraId="5A578991" w14:textId="77777777" w:rsidR="005C2736" w:rsidRDefault="00000000" w:rsidP="008B1AFB">
      <w:pPr>
        <w:jc w:val="both"/>
      </w:pPr>
      <w:r>
        <w:t>Evaluación contra los principios de visualización efectiva:</w:t>
      </w:r>
    </w:p>
    <w:p w14:paraId="6B456726" w14:textId="73FA4BBF" w:rsidR="005C2736" w:rsidRDefault="00000000" w:rsidP="008B1AFB">
      <w:pPr>
        <w:jc w:val="both"/>
      </w:pPr>
      <w:r>
        <w:t>- Gráfico propio (barras, Looker Studio): cumple con los principios evaluados tipo de gráfico correcto para comparar magnitudes discretas entre categorías, orden descendente por magnitud, una sola serie de color, etiquetas de valor visibles y escala lineal desde cero.</w:t>
      </w:r>
    </w:p>
    <w:p w14:paraId="60931716" w14:textId="150C000F" w:rsidR="005C2736" w:rsidRDefault="00000000" w:rsidP="008B1AFB">
      <w:pPr>
        <w:jc w:val="both"/>
      </w:pPr>
      <w:r>
        <w:t xml:space="preserve">- Gráfico circular (Excel, </w:t>
      </w:r>
      <w:proofErr w:type="spellStart"/>
      <w:proofErr w:type="gramStart"/>
      <w:r>
        <w:t>fast</w:t>
      </w:r>
      <w:proofErr w:type="spellEnd"/>
      <w:r>
        <w:t xml:space="preserve"> </w:t>
      </w:r>
      <w:proofErr w:type="spellStart"/>
      <w:r>
        <w:t>food</w:t>
      </w:r>
      <w:proofErr w:type="spellEnd"/>
      <w:proofErr w:type="gramEnd"/>
      <w:r>
        <w:t>): no cumple con el tipo de gráfico adecuado para el dato con 7 productos, una torta dificulta la comparación porque el ojo no distingue bien ángulos o áreas similares. Además, mantiene el orden original de carga en lugar de un orden descendente, no muestra los valores en cifras (solo referencia visual por color) y usa una paleta arbitraria que no aporta información adicional.</w:t>
      </w:r>
    </w:p>
    <w:p w14:paraId="05E9919E" w14:textId="77777777" w:rsidR="005C2736" w:rsidRDefault="00000000" w:rsidP="008B1AFB">
      <w:pPr>
        <w:jc w:val="both"/>
      </w:pPr>
      <w:r>
        <w:lastRenderedPageBreak/>
        <w:t>- Gráfico de barras (Google Sheets, Chocolate Sales): cumple con el tipo de gráfico correcto para el dato, pero conserva el orden por defecto (orden de aparición del país en la base, no por magnitud de ventas), lo que dificulta identificar de un vistazo qué país lidera sin leer cada valor individualmente.</w:t>
      </w:r>
    </w:p>
    <w:p w14:paraId="6C842014" w14:textId="77777777" w:rsidR="005C2736" w:rsidRDefault="005C2736" w:rsidP="008B1AFB">
      <w:pPr>
        <w:jc w:val="both"/>
      </w:pPr>
    </w:p>
    <w:p w14:paraId="23CF9C9F" w14:textId="77777777" w:rsidR="005C2736" w:rsidRDefault="00000000" w:rsidP="008B1AFB">
      <w:pPr>
        <w:jc w:val="both"/>
      </w:pPr>
      <w:r>
        <w:t xml:space="preserve">Conclusión: el gráfico circular de Excel es el que menos cumple los principios de visualización efectiva, por lo que se lo seleccionó como candidato a optimizar. La versión optimizada se construyó en Google Sheets, convirtiendo el gráfico circular en un gráfico de barras horizontales con los mismos datos (ventas por producto de </w:t>
      </w:r>
      <w:proofErr w:type="spellStart"/>
      <w:proofErr w:type="gramStart"/>
      <w:r>
        <w:t>fast</w:t>
      </w:r>
      <w:proofErr w:type="spellEnd"/>
      <w:r>
        <w:t xml:space="preserve"> </w:t>
      </w:r>
      <w:proofErr w:type="spellStart"/>
      <w:r>
        <w:t>food</w:t>
      </w:r>
      <w:proofErr w:type="spellEnd"/>
      <w:proofErr w:type="gramEnd"/>
      <w:r>
        <w:t xml:space="preserve">), aplicando: una única serie de color, orden descendente por magnitud y etiquetas de datos visibles con el valor exacto de cada producto (de $1.480 para </w:t>
      </w:r>
      <w:proofErr w:type="spellStart"/>
      <w:r>
        <w:t>Panipuri</w:t>
      </w:r>
      <w:proofErr w:type="spellEnd"/>
      <w:r>
        <w:t xml:space="preserve"> a $200 para </w:t>
      </w:r>
      <w:proofErr w:type="spellStart"/>
      <w:r>
        <w:t>Aalopuri</w:t>
      </w:r>
      <w:proofErr w:type="spellEnd"/>
      <w:r>
        <w:t>).</w:t>
      </w:r>
    </w:p>
    <w:sectPr w:rsidR="005C2736">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charset w:val="00"/>
    <w:family w:val="modern"/>
    <w:pitch w:val="fixed"/>
    <w:sig w:usb0="E00002FF" w:usb1="1000205B" w:usb2="00000020" w:usb3="00000000" w:csb0="0000019F" w:csb1="00000000"/>
    <w:embedRegular r:id="rId1" w:fontKey="{5B317093-9671-4C54-9A04-E32B419CF941}"/>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763E840E-E9CC-44E4-83C3-4F6CD5A1FB00}"/>
  </w:font>
  <w:font w:name="Cambria">
    <w:panose1 w:val="02040503050406030204"/>
    <w:charset w:val="00"/>
    <w:family w:val="roman"/>
    <w:pitch w:val="variable"/>
    <w:sig w:usb0="E00006FF" w:usb1="420024FF" w:usb2="02000000" w:usb3="00000000" w:csb0="0000019F" w:csb1="00000000"/>
    <w:embedRegular r:id="rId3" w:fontKey="{4512A757-C174-432C-8A4F-062FB416C6F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75AE9"/>
    <w:multiLevelType w:val="multilevel"/>
    <w:tmpl w:val="E3D031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3467F9"/>
    <w:multiLevelType w:val="multilevel"/>
    <w:tmpl w:val="26225E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15:restartNumberingAfterBreak="0">
    <w:nsid w:val="68D3246C"/>
    <w:multiLevelType w:val="multilevel"/>
    <w:tmpl w:val="E8D240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31442585">
    <w:abstractNumId w:val="2"/>
  </w:num>
  <w:num w:numId="2" w16cid:durableId="1177616947">
    <w:abstractNumId w:val="0"/>
  </w:num>
  <w:num w:numId="3" w16cid:durableId="15764301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736"/>
    <w:rsid w:val="002C0E78"/>
    <w:rsid w:val="005C2736"/>
    <w:rsid w:val="008B1AF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54D800"/>
  <w15:docId w15:val="{55382B55-D74D-4ACF-9258-D642CEE7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A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www.statista.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cace.org.ar" TargetMode="External"/><Relationship Id="rId5" Type="http://schemas.openxmlformats.org/officeDocument/2006/relationships/hyperlink" Target="http://www.indec.gob.a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10</Pages>
  <Words>3447</Words>
  <Characters>18962</Characters>
  <Application>Microsoft Office Word</Application>
  <DocSecurity>0</DocSecurity>
  <Lines>158</Lines>
  <Paragraphs>44</Paragraphs>
  <ScaleCrop>false</ScaleCrop>
  <Company/>
  <LinksUpToDate>false</LinksUpToDate>
  <CharactersWithSpaces>22365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tomas soiffer</cp:lastModifiedBy>
  <cp:revision>2</cp:revision>
  <dcterms:created xsi:type="dcterms:W3CDTF">2026-07-13T03:33:00Z</dcterms:created>
  <dcterms:modified xsi:type="dcterms:W3CDTF">2026-07-13T03:35:00Z</dcterms:modified>
</cp:coreProperties>
</file>