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line="276" w:lineRule="auto"/>
        <w:jc w:val="center"/>
      </w:pPr>
      <w:r>
        <w:rPr>
          <w:rFonts w:ascii="Times New Roman" w:hAnsi="Times New Roman" w:eastAsia="Times New Roman"/>
          <w:b/>
          <w:i w:val="0"/>
          <w:sz w:val="32"/>
        </w:rPr>
        <w:t>BÁO CÁO</w:t>
      </w:r>
    </w:p>
    <w:p>
      <w:pPr>
        <w:spacing w:after="120" w:before="200" w:line="276" w:lineRule="auto"/>
        <w:jc w:val="center"/>
      </w:pPr>
      <w:r>
        <w:rPr>
          <w:rFonts w:ascii="Times New Roman" w:hAnsi="Times New Roman" w:eastAsia="Times New Roman"/>
          <w:b/>
          <w:i w:val="0"/>
          <w:sz w:val="28"/>
        </w:rPr>
        <w:t>Tổng kết thi hành Luật Thương mại năm 2005</w:t>
      </w:r>
    </w:p>
    <w:p>
      <w:pPr>
        <w:spacing w:after="80" w:before="200" w:line="276" w:lineRule="auto"/>
      </w:pPr>
      <w:r>
        <w:rPr>
          <w:rFonts w:ascii="Times New Roman" w:hAnsi="Times New Roman" w:eastAsia="Times New Roman"/>
          <w:b/>
          <w:i w:val="0"/>
          <w:sz w:val="26"/>
        </w:rPr>
        <w:t>Giai đoạn từ tháng 01/2016 đến hết tháng 12/2026</w:t>
      </w:r>
    </w:p>
    <w:p>
      <w:pPr>
        <w:spacing w:after="60" w:before="0" w:line="276" w:lineRule="auto"/>
      </w:pPr>
      <w:r>
        <w:rPr>
          <w:rFonts w:ascii="Times New Roman" w:hAnsi="Times New Roman" w:eastAsia="Times New Roman"/>
          <w:b/>
          <w:i w:val="0"/>
          <w:sz w:val="26"/>
        </w:rPr>
        <w:t>Kính gửi:</w:t>
      </w:r>
      <w:r>
        <w:rPr>
          <w:rFonts w:ascii="Times New Roman" w:hAnsi="Times New Roman" w:eastAsia="Times New Roman"/>
          <w:b w:val="0"/>
          <w:i w:val="0"/>
          <w:sz w:val="26"/>
        </w:rPr>
        <w:t xml:space="preserve"> [Cấp có thẩm quyền – Tổng cục Công nghiệp Quốc phòng / Bộ Quốc phòng / đơn vị được phân công tổng hợp]</w:t>
      </w:r>
    </w:p>
    <w:p>
      <w:pPr>
        <w:spacing w:after="60" w:before="0" w:line="276" w:lineRule="auto"/>
      </w:pPr>
      <w:r>
        <w:rPr>
          <w:rFonts w:ascii="Times New Roman" w:hAnsi="Times New Roman" w:eastAsia="Times New Roman"/>
          <w:b/>
          <w:i w:val="0"/>
          <w:sz w:val="26"/>
        </w:rPr>
        <w:t>Đơn vị báo cáo:</w:t>
      </w:r>
      <w:r>
        <w:rPr>
          <w:rFonts w:ascii="Times New Roman" w:hAnsi="Times New Roman" w:eastAsia="Times New Roman"/>
          <w:b w:val="0"/>
          <w:i w:val="0"/>
          <w:sz w:val="26"/>
        </w:rPr>
        <w:t xml:space="preserve"> Công ty TNHH Một thành viên Cơ khí 83</w:t>
      </w:r>
    </w:p>
    <w:p>
      <w:pPr>
        <w:spacing w:after="60" w:before="0" w:line="276" w:lineRule="auto"/>
      </w:pPr>
      <w:r>
        <w:rPr>
          <w:rFonts w:ascii="Times New Roman" w:hAnsi="Times New Roman" w:eastAsia="Times New Roman"/>
          <w:b/>
          <w:i w:val="0"/>
          <w:sz w:val="26"/>
        </w:rPr>
        <w:t>Cơ quan chủ quản:</w:t>
      </w:r>
      <w:r>
        <w:rPr>
          <w:rFonts w:ascii="Times New Roman" w:hAnsi="Times New Roman" w:eastAsia="Times New Roman"/>
          <w:b w:val="0"/>
          <w:i w:val="0"/>
          <w:sz w:val="26"/>
        </w:rPr>
        <w:t xml:space="preserve"> Tổng cục Công nghiệp Quốc phòng – Bộ Quốc phòng</w:t>
      </w:r>
    </w:p>
    <w:p>
      <w:pPr>
        <w:spacing w:after="60" w:before="0" w:line="276" w:lineRule="auto"/>
      </w:pPr>
      <w:r>
        <w:rPr>
          <w:rFonts w:ascii="Times New Roman" w:hAnsi="Times New Roman" w:eastAsia="Times New Roman"/>
          <w:b/>
          <w:i w:val="0"/>
          <w:sz w:val="26"/>
        </w:rPr>
        <w:t>Lĩnh vực hoạt động chính:</w:t>
      </w:r>
      <w:r>
        <w:rPr>
          <w:rFonts w:ascii="Times New Roman" w:hAnsi="Times New Roman" w:eastAsia="Times New Roman"/>
          <w:b w:val="0"/>
          <w:i w:val="0"/>
          <w:sz w:val="26"/>
        </w:rPr>
        <w:t xml:space="preserve"> Gia công cơ khí chính xác; kinh doanh thiết bị phòng cháy chữa cháy (PCCC); xuất khẩu hộp sắt đa năng</w:t>
      </w:r>
    </w:p>
    <w:p>
      <w:pPr>
        <w:spacing w:after="120" w:before="200" w:line="276" w:lineRule="auto"/>
        <w:jc w:val="center"/>
      </w:pPr>
      <w:r>
        <w:rPr>
          <w:rFonts w:ascii="Times New Roman" w:hAnsi="Times New Roman" w:eastAsia="Times New Roman"/>
          <w:b/>
          <w:i w:val="0"/>
          <w:sz w:val="28"/>
        </w:rPr>
        <w:t>PHẦN MỞ ĐẦU</w:t>
      </w:r>
    </w:p>
    <w:p>
      <w:pPr>
        <w:spacing w:after="80" w:before="200" w:line="276" w:lineRule="auto"/>
      </w:pPr>
      <w:r>
        <w:rPr>
          <w:rFonts w:ascii="Times New Roman" w:hAnsi="Times New Roman" w:eastAsia="Times New Roman"/>
          <w:b/>
          <w:i w:val="0"/>
          <w:sz w:val="26"/>
        </w:rPr>
        <w:t>1. Sự cần thiết và căn cứ tổng kết</w:t>
      </w:r>
    </w:p>
    <w:p>
      <w:pPr>
        <w:spacing w:after="120" w:before="0" w:line="276" w:lineRule="auto"/>
        <w:ind w:firstLine="567"/>
        <w:jc w:val="both"/>
      </w:pPr>
      <w:r>
        <w:rPr>
          <w:rFonts w:ascii="Times New Roman" w:hAnsi="Times New Roman" w:eastAsia="Times New Roman"/>
          <w:b w:val="0"/>
          <w:i w:val="0"/>
          <w:sz w:val="26"/>
        </w:rPr>
        <w:t>Luật Thương mại số 36/2005/QH11 được Quốc hội khóa XI, kỳ họp thứ 7 thông qua ngày 14 tháng 6 năm 2005, có hiệu lực thi hành từ ngày 01 tháng 01 năm 2006[1]. Sau gần 20 năm thi hành, nhiều quan hệ thương mại mới phát sinh; đồng thời hệ thống pháp luật chuyên ngành (quản lý ngoại thương, đầu tư, doanh nghiệp, dân sự, phòng cháy chữa cháy, công nghiệp quốc phòng…) đã có thay đổi lớn, đặt ra yêu cầu tổng kết toàn diện để phục vụ định hướng lập pháp.</w:t>
      </w:r>
    </w:p>
    <w:p>
      <w:pPr>
        <w:spacing w:after="120" w:before="0" w:line="276" w:lineRule="auto"/>
        <w:ind w:firstLine="567"/>
        <w:jc w:val="both"/>
      </w:pPr>
      <w:r>
        <w:rPr>
          <w:rFonts w:ascii="Times New Roman" w:hAnsi="Times New Roman" w:eastAsia="Times New Roman"/>
          <w:b w:val="0"/>
          <w:i w:val="0"/>
          <w:sz w:val="26"/>
        </w:rPr>
        <w:t>Việc tổng kết được thực hiện theo đề nghị của Bộ Công Thương tại công văn về tổng kết Luật Thương mại 2005 (kèm Phụ lục I – Đề cương Báo cáo và Phụ lục II – Phân công theo trọng tâm tổng kết), gắn với Kế hoạch số 64/KH-UBTVQH16 của Ủy ban Thường vụ Quốc hội, khoản 3 Điều 59 Luật Ban hành văn bản quy phạm pháp luật năm 2025 và Điều 9 Nghị định số 80/2025/NĐ-CP ngày 01 tháng 4 năm 2025 của Chính phủ về tổ chức thi hành văn bản quy phạm pháp luật[2].</w:t>
      </w:r>
    </w:p>
    <w:p>
      <w:pPr>
        <w:spacing w:after="80" w:before="200" w:line="276" w:lineRule="auto"/>
      </w:pPr>
      <w:r>
        <w:rPr>
          <w:rFonts w:ascii="Times New Roman" w:hAnsi="Times New Roman" w:eastAsia="Times New Roman"/>
          <w:b/>
          <w:i w:val="0"/>
          <w:sz w:val="26"/>
        </w:rPr>
        <w:t>2. Mục đích báo cáo</w:t>
      </w:r>
    </w:p>
    <w:p>
      <w:pPr>
        <w:pStyle w:val="ListBullet"/>
        <w:spacing w:after="60" w:line="276" w:lineRule="auto"/>
        <w:jc w:val="both"/>
      </w:pPr>
      <w:r>
        <w:rPr>
          <w:rFonts w:ascii="Times New Roman" w:hAnsi="Times New Roman" w:eastAsia="Times New Roman"/>
          <w:b w:val="0"/>
          <w:i w:val="0"/>
          <w:sz w:val="26"/>
        </w:rPr>
        <w:t>Đánh giá thực tiễn thi hành Luật Thương mại và các văn bản hướng dẫn từ góc độ doanh nghiệp nhà nước thuộc lĩnh vực công nghiệp quốc phòng có hoạt động thương mại dân sự.</w:t>
      </w:r>
    </w:p>
    <w:p>
      <w:pPr>
        <w:pStyle w:val="ListBullet"/>
        <w:spacing w:after="60" w:line="276" w:lineRule="auto"/>
        <w:jc w:val="both"/>
      </w:pPr>
      <w:r>
        <w:rPr>
          <w:rFonts w:ascii="Times New Roman" w:hAnsi="Times New Roman" w:eastAsia="Times New Roman"/>
          <w:b w:val="0"/>
          <w:i w:val="0"/>
          <w:sz w:val="26"/>
        </w:rPr>
        <w:t>Chỉ rõ kết quả, tồn tại, vướng mắc, bất cập và nguyên nhân theo từng nhóm chế định.</w:t>
      </w:r>
    </w:p>
    <w:p>
      <w:pPr>
        <w:pStyle w:val="ListBullet"/>
        <w:spacing w:after="60" w:line="276" w:lineRule="auto"/>
        <w:jc w:val="both"/>
      </w:pPr>
      <w:r>
        <w:rPr>
          <w:rFonts w:ascii="Times New Roman" w:hAnsi="Times New Roman" w:eastAsia="Times New Roman"/>
          <w:b w:val="0"/>
          <w:i w:val="0"/>
          <w:sz w:val="26"/>
        </w:rPr>
        <w:t>Kiến nghị phương án hoàn thiện pháp luật thương mại, bảo đảm thống nhất, đồng bộ, khả thi và phù hợp cam kết quốc tế.</w:t>
      </w:r>
    </w:p>
    <w:p>
      <w:pPr>
        <w:spacing w:after="80" w:before="200" w:line="276" w:lineRule="auto"/>
      </w:pPr>
      <w:r>
        <w:rPr>
          <w:rFonts w:ascii="Times New Roman" w:hAnsi="Times New Roman" w:eastAsia="Times New Roman"/>
          <w:b/>
          <w:i w:val="0"/>
          <w:sz w:val="26"/>
        </w:rPr>
        <w:t>3. Phạm vi báo cáo</w:t>
      </w:r>
    </w:p>
    <w:tbl>
      <w:tblPr>
        <w:tblStyle w:val="TableGrid"/>
        <w:tblW w:type="auto" w:w="0"/>
        <w:jc w:val="center"/>
        <w:tblLook w:firstColumn="1" w:firstRow="1" w:lastColumn="0" w:lastRow="0" w:noHBand="0" w:noVBand="1" w:val="04A0"/>
      </w:tblPr>
      <w:tblGrid>
        <w:gridCol w:w="4535"/>
        <w:gridCol w:w="4535"/>
      </w:tblGrid>
      <w:tr>
        <w:tc>
          <w:tcPr>
            <w:tcW w:type="dxa" w:w="4535"/>
            <w:shd w:fill="D9E2F3" w:val="clear"/>
          </w:tcPr>
          <w:p>
            <w:pPr>
              <w:jc w:val="left"/>
            </w:pPr>
            <w:r/>
            <w:r>
              <w:rPr>
                <w:rFonts w:ascii="Times New Roman" w:hAnsi="Times New Roman" w:eastAsia="Times New Roman"/>
                <w:b/>
                <w:i w:val="0"/>
                <w:sz w:val="22"/>
              </w:rPr>
              <w:t>Tiêu chí</w:t>
            </w:r>
          </w:p>
        </w:tc>
        <w:tc>
          <w:tcPr>
            <w:tcW w:type="dxa" w:w="4535"/>
            <w:shd w:fill="D9E2F3" w:val="clear"/>
          </w:tcPr>
          <w:p>
            <w:pPr>
              <w:jc w:val="left"/>
            </w:pPr>
            <w:r/>
            <w:r>
              <w:rPr>
                <w:rFonts w:ascii="Times New Roman" w:hAnsi="Times New Roman" w:eastAsia="Times New Roman"/>
                <w:b/>
                <w:i w:val="0"/>
                <w:sz w:val="22"/>
              </w:rPr>
              <w:t>Nội dung</w:t>
            </w:r>
          </w:p>
        </w:tc>
      </w:tr>
      <w:tr>
        <w:tc>
          <w:tcPr>
            <w:tcW w:type="dxa" w:w="4535"/>
          </w:tcPr>
          <w:p>
            <w:pPr>
              <w:jc w:val="left"/>
            </w:pPr>
            <w:r/>
            <w:r>
              <w:rPr>
                <w:rFonts w:ascii="Times New Roman" w:hAnsi="Times New Roman" w:eastAsia="Times New Roman"/>
                <w:b w:val="0"/>
                <w:i w:val="0"/>
                <w:sz w:val="22"/>
              </w:rPr>
              <w:t>Thời gian</w:t>
            </w:r>
          </w:p>
        </w:tc>
        <w:tc>
          <w:tcPr>
            <w:tcW w:type="dxa" w:w="4535"/>
          </w:tcPr>
          <w:p>
            <w:pPr>
              <w:jc w:val="left"/>
            </w:pPr>
            <w:r/>
            <w:r>
              <w:rPr>
                <w:rFonts w:ascii="Times New Roman" w:hAnsi="Times New Roman" w:eastAsia="Times New Roman"/>
                <w:b w:val="0"/>
                <w:i w:val="0"/>
                <w:sz w:val="22"/>
              </w:rPr>
              <w:t>Tháng 01/2016 – hết tháng 12/2026</w:t>
            </w:r>
          </w:p>
        </w:tc>
      </w:tr>
      <w:tr>
        <w:tc>
          <w:tcPr>
            <w:tcW w:type="dxa" w:w="4535"/>
          </w:tcPr>
          <w:p>
            <w:pPr>
              <w:jc w:val="left"/>
            </w:pPr>
            <w:r/>
            <w:r>
              <w:rPr>
                <w:rFonts w:ascii="Times New Roman" w:hAnsi="Times New Roman" w:eastAsia="Times New Roman"/>
                <w:b w:val="0"/>
                <w:i w:val="0"/>
                <w:sz w:val="22"/>
              </w:rPr>
              <w:t>Nội dung</w:t>
            </w:r>
          </w:p>
        </w:tc>
        <w:tc>
          <w:tcPr>
            <w:tcW w:type="dxa" w:w="4535"/>
          </w:tcPr>
          <w:p>
            <w:pPr>
              <w:jc w:val="left"/>
            </w:pPr>
            <w:r/>
            <w:r>
              <w:rPr>
                <w:rFonts w:ascii="Times New Roman" w:hAnsi="Times New Roman" w:eastAsia="Times New Roman"/>
                <w:b w:val="0"/>
                <w:i w:val="0"/>
                <w:sz w:val="22"/>
              </w:rPr>
              <w:t>Thi hành Luật Thương mại 2005 và VBPL hướng dẫn, sửa đổi, bổ sung có liên quan</w:t>
            </w:r>
          </w:p>
        </w:tc>
      </w:tr>
      <w:tr>
        <w:tc>
          <w:tcPr>
            <w:tcW w:type="dxa" w:w="4535"/>
          </w:tcPr>
          <w:p>
            <w:pPr>
              <w:jc w:val="left"/>
            </w:pPr>
            <w:r/>
            <w:r>
              <w:rPr>
                <w:rFonts w:ascii="Times New Roman" w:hAnsi="Times New Roman" w:eastAsia="Times New Roman"/>
                <w:b w:val="0"/>
                <w:i w:val="0"/>
                <w:sz w:val="22"/>
              </w:rPr>
              <w:t>Góc độ đánh giá</w:t>
            </w:r>
          </w:p>
        </w:tc>
        <w:tc>
          <w:tcPr>
            <w:tcW w:type="dxa" w:w="4535"/>
          </w:tcPr>
          <w:p>
            <w:pPr>
              <w:jc w:val="left"/>
            </w:pPr>
            <w:r/>
            <w:r>
              <w:rPr>
                <w:rFonts w:ascii="Times New Roman" w:hAnsi="Times New Roman" w:eastAsia="Times New Roman"/>
                <w:b w:val="0"/>
                <w:i w:val="0"/>
                <w:sz w:val="22"/>
              </w:rPr>
              <w:t>Doanh nghiệp áp dụng pháp luật (không thay thế báo cáo quản lý nhà nước của Bộ/ngành)</w:t>
            </w:r>
          </w:p>
        </w:tc>
      </w:tr>
      <w:tr>
        <w:tc>
          <w:tcPr>
            <w:tcW w:type="dxa" w:w="4535"/>
          </w:tcPr>
          <w:p>
            <w:pPr>
              <w:jc w:val="left"/>
            </w:pPr>
            <w:r/>
            <w:r>
              <w:rPr>
                <w:rFonts w:ascii="Times New Roman" w:hAnsi="Times New Roman" w:eastAsia="Times New Roman"/>
                <w:b w:val="0"/>
                <w:i w:val="0"/>
                <w:sz w:val="22"/>
              </w:rPr>
              <w:t>Trọng tâm</w:t>
            </w:r>
          </w:p>
        </w:tc>
        <w:tc>
          <w:tcPr>
            <w:tcW w:type="dxa" w:w="4535"/>
          </w:tcPr>
          <w:p>
            <w:pPr>
              <w:jc w:val="left"/>
            </w:pPr>
            <w:r/>
            <w:r>
              <w:rPr>
                <w:rFonts w:ascii="Times New Roman" w:hAnsi="Times New Roman" w:eastAsia="Times New Roman"/>
                <w:b w:val="0"/>
                <w:i w:val="0"/>
                <w:sz w:val="22"/>
              </w:rPr>
              <w:t>Chương II, III, IV (Phụ lục II gắn Bộ Quốc phòng); đồng thời đánh giá Chương I, V, VI, VII, VIII và vấn đề mới</w:t>
            </w:r>
          </w:p>
        </w:tc>
      </w:tr>
    </w:tbl>
    <w:p/>
    <w:p>
      <w:pPr>
        <w:spacing w:after="80" w:before="200" w:line="276" w:lineRule="auto"/>
      </w:pPr>
      <w:r>
        <w:rPr>
          <w:rFonts w:ascii="Times New Roman" w:hAnsi="Times New Roman" w:eastAsia="Times New Roman"/>
          <w:b/>
          <w:i w:val="0"/>
          <w:sz w:val="26"/>
        </w:rPr>
        <w:t>4. Phương pháp xây dựng</w:t>
      </w:r>
    </w:p>
    <w:p>
      <w:pPr>
        <w:pStyle w:val="ListBullet"/>
        <w:spacing w:after="60" w:line="276" w:lineRule="auto"/>
        <w:jc w:val="both"/>
      </w:pPr>
      <w:r>
        <w:rPr>
          <w:rFonts w:ascii="Times New Roman" w:hAnsi="Times New Roman" w:eastAsia="Times New Roman"/>
          <w:b w:val="0"/>
          <w:i w:val="0"/>
          <w:sz w:val="26"/>
        </w:rPr>
        <w:t>Rà soát quy định pháp luật và đối chiếu thực tiễn ký kết, thực hiện hợp đồng; xuất khẩu; kinh doanh PCCC; gia công cơ khí.</w:t>
      </w:r>
    </w:p>
    <w:p>
      <w:pPr>
        <w:pStyle w:val="ListBullet"/>
        <w:spacing w:after="60" w:line="276" w:lineRule="auto"/>
        <w:jc w:val="both"/>
      </w:pPr>
      <w:r>
        <w:rPr>
          <w:rFonts w:ascii="Times New Roman" w:hAnsi="Times New Roman" w:eastAsia="Times New Roman"/>
          <w:b w:val="0"/>
          <w:i w:val="0"/>
          <w:sz w:val="26"/>
        </w:rPr>
        <w:t>Phân tích giao thoa giữa Luật Thương mại với Bộ luật Dân sự, Luật Doanh nghiệp, Luật Đầu tư, Luật Quản lý ngoại thương và pháp luật chuyên ngành.</w:t>
      </w:r>
    </w:p>
    <w:p>
      <w:pPr>
        <w:pStyle w:val="ListBullet"/>
        <w:spacing w:after="60" w:line="276" w:lineRule="auto"/>
        <w:jc w:val="both"/>
      </w:pPr>
      <w:r>
        <w:rPr>
          <w:rFonts w:ascii="Times New Roman" w:hAnsi="Times New Roman" w:eastAsia="Times New Roman"/>
          <w:b w:val="0"/>
          <w:i w:val="0"/>
          <w:sz w:val="26"/>
        </w:rPr>
        <w:t>Tổng hợp khó khăn, chi phí tuân thủ; đề xuất kiến nghị gắn lộ trình.</w:t>
      </w:r>
    </w:p>
    <w:p>
      <w:pPr>
        <w:pStyle w:val="ListBullet"/>
        <w:spacing w:after="60" w:line="276" w:lineRule="auto"/>
        <w:jc w:val="both"/>
      </w:pPr>
      <w:r>
        <w:rPr>
          <w:rFonts w:ascii="Times New Roman" w:hAnsi="Times New Roman" w:eastAsia="Times New Roman"/>
          <w:b w:val="0"/>
          <w:i w:val="0"/>
          <w:sz w:val="26"/>
        </w:rPr>
        <w:t>Số liệu nội bộ chưa có được để trong ngoặc vuông [Điền số liệu] để Công ty bổ sung khi hoàn thiện chính thức.</w:t>
      </w:r>
    </w:p>
    <w:p>
      <w:pPr>
        <w:spacing w:after="80" w:before="200" w:line="276" w:lineRule="auto"/>
      </w:pPr>
      <w:r>
        <w:rPr>
          <w:rFonts w:ascii="Times New Roman" w:hAnsi="Times New Roman" w:eastAsia="Times New Roman"/>
          <w:b/>
          <w:i w:val="0"/>
          <w:sz w:val="26"/>
        </w:rPr>
        <w:t>5. Khái quát về đơn vị báo cáo</w:t>
      </w:r>
    </w:p>
    <w:p>
      <w:pPr>
        <w:spacing w:after="120" w:before="0" w:line="276" w:lineRule="auto"/>
        <w:ind w:firstLine="567"/>
        <w:jc w:val="both"/>
      </w:pPr>
      <w:r>
        <w:rPr>
          <w:rFonts w:ascii="Times New Roman" w:hAnsi="Times New Roman" w:eastAsia="Times New Roman"/>
          <w:b w:val="0"/>
          <w:i w:val="0"/>
          <w:sz w:val="26"/>
        </w:rPr>
        <w:t>Công ty TNHH Một thành viên Cơ khí 83 là doanh nghiệp do Nhà nước nắm giữ 100% vốn điều lệ, trực thuộc Tổng cục Công nghiệp Quốc phòng – Bộ Quốc phòng quản lý. Trong giai đoạn tổng kết, Công ty vừa thực hiện nhiệm vụ sản xuất, gia công phục vụ quốc phòng – an ninh, vừa tham gia thị trường với các hoạt động thương mại chủ yếu:</w:t>
      </w:r>
    </w:p>
    <w:p>
      <w:pPr>
        <w:spacing w:after="60" w:before="0" w:line="276" w:lineRule="auto"/>
        <w:ind w:firstLine="283"/>
        <w:jc w:val="both"/>
      </w:pPr>
      <w:r>
        <w:rPr>
          <w:rFonts w:ascii="Times New Roman" w:hAnsi="Times New Roman" w:eastAsia="Times New Roman"/>
          <w:b w:val="0"/>
          <w:i w:val="0"/>
          <w:sz w:val="26"/>
        </w:rPr>
        <w:t xml:space="preserve">1. </w:t>
      </w:r>
      <w:r>
        <w:rPr>
          <w:rFonts w:ascii="Times New Roman" w:hAnsi="Times New Roman" w:eastAsia="Times New Roman"/>
          <w:b/>
          <w:i w:val="0"/>
          <w:sz w:val="26"/>
        </w:rPr>
        <w:t>Gia công cơ khí chính xác</w:t>
      </w:r>
      <w:r>
        <w:rPr>
          <w:rFonts w:ascii="Times New Roman" w:hAnsi="Times New Roman" w:eastAsia="Times New Roman"/>
          <w:b w:val="0"/>
          <w:i w:val="0"/>
          <w:sz w:val="26"/>
        </w:rPr>
        <w:t xml:space="preserve"> – mang tính chất hợp đồng gia công/cung ứng dịch vụ theo pháp luật thương mại;</w:t>
      </w:r>
    </w:p>
    <w:p>
      <w:pPr>
        <w:spacing w:after="60" w:before="0" w:line="276" w:lineRule="auto"/>
        <w:ind w:firstLine="283"/>
        <w:jc w:val="both"/>
      </w:pPr>
      <w:r>
        <w:rPr>
          <w:rFonts w:ascii="Times New Roman" w:hAnsi="Times New Roman" w:eastAsia="Times New Roman"/>
          <w:b w:val="0"/>
          <w:i w:val="0"/>
          <w:sz w:val="26"/>
        </w:rPr>
        <w:t xml:space="preserve">2. </w:t>
      </w:r>
      <w:r>
        <w:rPr>
          <w:rFonts w:ascii="Times New Roman" w:hAnsi="Times New Roman" w:eastAsia="Times New Roman"/>
          <w:b/>
          <w:i w:val="0"/>
          <w:sz w:val="26"/>
        </w:rPr>
        <w:t>Kinh doanh thiết bị PCCC</w:t>
      </w:r>
      <w:r>
        <w:rPr>
          <w:rFonts w:ascii="Times New Roman" w:hAnsi="Times New Roman" w:eastAsia="Times New Roman"/>
          <w:b w:val="0"/>
          <w:i w:val="0"/>
          <w:sz w:val="26"/>
        </w:rPr>
        <w:t xml:space="preserve"> – hoạt động mua bán hàng hóa thuộc ngành, nghề đầu tư kinh doanh có điều kiện;</w:t>
      </w:r>
    </w:p>
    <w:p>
      <w:pPr>
        <w:spacing w:after="60" w:before="0" w:line="276" w:lineRule="auto"/>
        <w:ind w:firstLine="283"/>
        <w:jc w:val="both"/>
      </w:pPr>
      <w:r>
        <w:rPr>
          <w:rFonts w:ascii="Times New Roman" w:hAnsi="Times New Roman" w:eastAsia="Times New Roman"/>
          <w:b w:val="0"/>
          <w:i w:val="0"/>
          <w:sz w:val="26"/>
        </w:rPr>
        <w:t xml:space="preserve">3. </w:t>
      </w:r>
      <w:r>
        <w:rPr>
          <w:rFonts w:ascii="Times New Roman" w:hAnsi="Times New Roman" w:eastAsia="Times New Roman"/>
          <w:b/>
          <w:i w:val="0"/>
          <w:sz w:val="26"/>
        </w:rPr>
        <w:t>Xuất khẩu hộp sắt đa năng</w:t>
      </w:r>
      <w:r>
        <w:rPr>
          <w:rFonts w:ascii="Times New Roman" w:hAnsi="Times New Roman" w:eastAsia="Times New Roman"/>
          <w:b w:val="0"/>
          <w:i w:val="0"/>
          <w:sz w:val="26"/>
        </w:rPr>
        <w:t xml:space="preserve"> – hoạt động mua bán hàng hóa quốc tế theo quy định của Luật Thương mại và pháp luật quản lý ngoại thương.</w:t>
      </w:r>
    </w:p>
    <w:p>
      <w:pPr>
        <w:spacing w:after="120" w:before="0" w:line="276" w:lineRule="auto"/>
        <w:ind w:firstLine="567"/>
        <w:jc w:val="both"/>
      </w:pPr>
      <w:r>
        <w:rPr>
          <w:rFonts w:ascii="Times New Roman" w:hAnsi="Times New Roman" w:eastAsia="Times New Roman"/>
          <w:b w:val="0"/>
          <w:i w:val="0"/>
          <w:sz w:val="26"/>
        </w:rPr>
        <w:t>Đặc thù nêu trên khiến Công ty đồng thời chịu sự điều chỉnh của pháp luật thương mại chung và pháp luật chuyên ngành quốc phòng, PCCC, hải quan, tiêu chuẩn – quy chuẩn kỹ thuật.</w:t>
      </w:r>
    </w:p>
    <w:p>
      <w:pPr>
        <w:spacing w:after="120" w:before="200" w:line="276" w:lineRule="auto"/>
        <w:jc w:val="center"/>
      </w:pPr>
      <w:r>
        <w:rPr>
          <w:rFonts w:ascii="Times New Roman" w:hAnsi="Times New Roman" w:eastAsia="Times New Roman"/>
          <w:b/>
          <w:i w:val="0"/>
          <w:sz w:val="28"/>
        </w:rPr>
        <w:t>I. CÔNG TÁC CHỈ ĐẠO, TRIỂN KHAI, TUYÊN TRUYỀN, TẬP HUẤN VÀ TỔ CHỨC THI HÀNH</w:t>
      </w:r>
    </w:p>
    <w:p>
      <w:pPr>
        <w:spacing w:after="80" w:before="200" w:line="276" w:lineRule="auto"/>
      </w:pPr>
      <w:r>
        <w:rPr>
          <w:rFonts w:ascii="Times New Roman" w:hAnsi="Times New Roman" w:eastAsia="Times New Roman"/>
          <w:b/>
          <w:i w:val="0"/>
          <w:sz w:val="26"/>
        </w:rPr>
        <w:t>I.1. Tiếp nhận, quán triệt và cụ thể hóa văn bản chỉ đạo</w:t>
      </w:r>
    </w:p>
    <w:p>
      <w:pPr>
        <w:spacing w:after="120" w:before="0" w:line="276" w:lineRule="auto"/>
        <w:ind w:firstLine="567"/>
        <w:jc w:val="both"/>
      </w:pPr>
      <w:r>
        <w:rPr>
          <w:rFonts w:ascii="Times New Roman" w:hAnsi="Times New Roman" w:eastAsia="Times New Roman"/>
          <w:b w:val="0"/>
          <w:i w:val="0"/>
          <w:sz w:val="26"/>
        </w:rPr>
        <w:t>Trong giai đoạn 2016–2026, Công ty đã tiếp nhận, quán triệt các văn bản chỉ đạo, hướng dẫn của Bộ Quốc phòng, Tổng cục Công nghiệp Quốc phòng và cơ quan nhà nước có thẩm quyền liên quan đến thi hành pháp luật về hợp đồng, xuất nhập khẩu, xúc tiến thương mại, phòng chống hàng giả – hàng kém chất lượng và tuân thủ điều kiện kinh doanh.</w:t>
      </w:r>
    </w:p>
    <w:p>
      <w:pPr>
        <w:spacing w:after="120" w:before="0" w:line="276" w:lineRule="auto"/>
        <w:ind w:firstLine="567"/>
        <w:jc w:val="both"/>
      </w:pPr>
      <w:r>
        <w:rPr>
          <w:rFonts w:ascii="Times New Roman" w:hAnsi="Times New Roman" w:eastAsia="Times New Roman"/>
          <w:b w:val="0"/>
          <w:i w:val="0"/>
          <w:sz w:val="26"/>
        </w:rPr>
        <w:t>Trên cơ sở đó, Công ty từng bước cụ thể hóa bằng quy chế, quy trình nội bộ, gồm các nhóm chính:</w:t>
      </w:r>
    </w:p>
    <w:p>
      <w:pPr>
        <w:pStyle w:val="ListBullet"/>
        <w:spacing w:after="60" w:line="276" w:lineRule="auto"/>
        <w:jc w:val="both"/>
      </w:pPr>
      <w:r>
        <w:rPr>
          <w:rFonts w:ascii="Times New Roman" w:hAnsi="Times New Roman" w:eastAsia="Times New Roman"/>
          <w:b w:val="0"/>
          <w:i w:val="0"/>
          <w:sz w:val="26"/>
        </w:rPr>
        <w:t>Quy trình soạn thảo, thẩm định, ký kết và quản lý thực hiện hợp đồng kinh tế/thương mại;</w:t>
      </w:r>
    </w:p>
    <w:p>
      <w:pPr>
        <w:pStyle w:val="ListBullet"/>
        <w:spacing w:after="60" w:line="276" w:lineRule="auto"/>
        <w:jc w:val="both"/>
      </w:pPr>
      <w:r>
        <w:rPr>
          <w:rFonts w:ascii="Times New Roman" w:hAnsi="Times New Roman" w:eastAsia="Times New Roman"/>
          <w:b w:val="0"/>
          <w:i w:val="0"/>
          <w:sz w:val="26"/>
        </w:rPr>
        <w:t>Quy trình xuất khẩu, bộ chứng từ thương mại – hải quan; kiểm soát xuất xứ và ưu đãi thuế quan theo FTA (khi áp dụng);</w:t>
      </w:r>
    </w:p>
    <w:p>
      <w:pPr>
        <w:pStyle w:val="ListBullet"/>
        <w:spacing w:after="60" w:line="276" w:lineRule="auto"/>
        <w:jc w:val="both"/>
      </w:pPr>
      <w:r>
        <w:rPr>
          <w:rFonts w:ascii="Times New Roman" w:hAnsi="Times New Roman" w:eastAsia="Times New Roman"/>
          <w:b w:val="0"/>
          <w:i w:val="0"/>
          <w:sz w:val="26"/>
        </w:rPr>
        <w:t>Quy trình kiểm soát điều kiện kinh doanh, chất lượng đối với thiết bị PCCC;</w:t>
      </w:r>
    </w:p>
    <w:p>
      <w:pPr>
        <w:pStyle w:val="ListBullet"/>
        <w:spacing w:after="60" w:line="276" w:lineRule="auto"/>
        <w:jc w:val="both"/>
      </w:pPr>
      <w:r>
        <w:rPr>
          <w:rFonts w:ascii="Times New Roman" w:hAnsi="Times New Roman" w:eastAsia="Times New Roman"/>
          <w:b w:val="0"/>
          <w:i w:val="0"/>
          <w:sz w:val="26"/>
        </w:rPr>
        <w:t>Cơ chế phối hợp giữa bộ phận pháp chế – kinh doanh – kỹ thuật – tài chính khi đàm phán điều khoản phạt vi phạm, bồi thường thiệt hại, bảo mật thông tin kỹ thuật.</w:t>
      </w:r>
    </w:p>
    <w:p>
      <w:pPr>
        <w:spacing w:after="120" w:before="0" w:line="276" w:lineRule="auto"/>
        <w:ind w:firstLine="567"/>
        <w:jc w:val="both"/>
      </w:pPr>
      <w:r>
        <w:rPr>
          <w:rFonts w:ascii="Times New Roman" w:hAnsi="Times New Roman" w:eastAsia="Times New Roman"/>
          <w:b w:val="0"/>
          <w:i w:val="0"/>
          <w:sz w:val="26"/>
        </w:rPr>
        <w:t>Việc tổ chức thi hành tại doanh nghiệp phù hợp tinh thần thương nhân phải tuân thủ pháp luật trong hoạt động thương mại theo các nguyên tắc tại Chương I Luật Thương mại năm 2005[1][3].</w:t>
      </w:r>
    </w:p>
    <w:p>
      <w:pPr>
        <w:spacing w:after="80" w:before="200" w:line="276" w:lineRule="auto"/>
      </w:pPr>
      <w:r>
        <w:rPr>
          <w:rFonts w:ascii="Times New Roman" w:hAnsi="Times New Roman" w:eastAsia="Times New Roman"/>
          <w:b/>
          <w:i w:val="0"/>
          <w:sz w:val="26"/>
        </w:rPr>
        <w:t>I.2. Công tác tuyên truyền, phổ biến, tập huấn</w:t>
      </w:r>
    </w:p>
    <w:p>
      <w:pPr>
        <w:spacing w:after="120" w:before="0" w:line="276" w:lineRule="auto"/>
        <w:ind w:firstLine="567"/>
        <w:jc w:val="both"/>
      </w:pPr>
      <w:r>
        <w:rPr>
          <w:rFonts w:ascii="Times New Roman" w:hAnsi="Times New Roman" w:eastAsia="Times New Roman"/>
          <w:b w:val="0"/>
          <w:i w:val="0"/>
          <w:sz w:val="26"/>
        </w:rPr>
        <w:t>Công ty đã tổ chức/phối hợp tổ chức tuyên truyền, tập huấn cho cán bộ làm công tác pháp chế, kinh doanh, xuất nhập khẩu, quản lý chất lượng về các nhóm nội dung:</w:t>
      </w:r>
    </w:p>
    <w:p>
      <w:pPr>
        <w:spacing w:after="60" w:before="0" w:line="276" w:lineRule="auto"/>
        <w:ind w:firstLine="283"/>
        <w:jc w:val="both"/>
      </w:pPr>
      <w:r>
        <w:rPr>
          <w:rFonts w:ascii="Times New Roman" w:hAnsi="Times New Roman" w:eastAsia="Times New Roman"/>
          <w:b w:val="0"/>
          <w:i w:val="0"/>
          <w:sz w:val="26"/>
        </w:rPr>
        <w:t>1. Những quy định chung về hoạt động thương mại, thương nhân, quyền tự do kinh doanh thương mại trong ngành, nghề pháp luật không cấm (Điều 6, Điều 7 Luật Thương mại năm 2005)[1];</w:t>
      </w:r>
    </w:p>
    <w:p>
      <w:pPr>
        <w:spacing w:after="60" w:before="0" w:line="276" w:lineRule="auto"/>
        <w:ind w:firstLine="283"/>
        <w:jc w:val="both"/>
      </w:pPr>
      <w:r>
        <w:rPr>
          <w:rFonts w:ascii="Times New Roman" w:hAnsi="Times New Roman" w:eastAsia="Times New Roman"/>
          <w:b w:val="0"/>
          <w:i w:val="0"/>
          <w:sz w:val="26"/>
        </w:rPr>
        <w:t>2. Hợp đồng mua bán hàng hóa, mua bán hàng hóa quốc tế (Chương II)[1];</w:t>
      </w:r>
    </w:p>
    <w:p>
      <w:pPr>
        <w:spacing w:after="60" w:before="0" w:line="276" w:lineRule="auto"/>
        <w:ind w:firstLine="283"/>
        <w:jc w:val="both"/>
      </w:pPr>
      <w:r>
        <w:rPr>
          <w:rFonts w:ascii="Times New Roman" w:hAnsi="Times New Roman" w:eastAsia="Times New Roman"/>
          <w:b w:val="0"/>
          <w:i w:val="0"/>
          <w:sz w:val="26"/>
        </w:rPr>
        <w:t>3. Cung ứng dịch vụ và gia công trong thương mại (Chương III và các quy định về gia công tại Chương VI)[1];</w:t>
      </w:r>
    </w:p>
    <w:p>
      <w:pPr>
        <w:spacing w:after="60" w:before="0" w:line="276" w:lineRule="auto"/>
        <w:ind w:firstLine="283"/>
        <w:jc w:val="both"/>
      </w:pPr>
      <w:r>
        <w:rPr>
          <w:rFonts w:ascii="Times New Roman" w:hAnsi="Times New Roman" w:eastAsia="Times New Roman"/>
          <w:b w:val="0"/>
          <w:i w:val="0"/>
          <w:sz w:val="26"/>
        </w:rPr>
        <w:t>4. Xúc tiến thương mại: khuyến mại, quảng cáo thương mại, hội chợ – triển lãm (Chương IV Luật Thương mại năm 2005; Nghị định số 37/2006/NĐ-CP; Nghị định số 81/2018/NĐ-CP)[1][4][5];</w:t>
      </w:r>
    </w:p>
    <w:p>
      <w:pPr>
        <w:spacing w:after="60" w:before="0" w:line="276" w:lineRule="auto"/>
        <w:ind w:firstLine="283"/>
        <w:jc w:val="both"/>
      </w:pPr>
      <w:r>
        <w:rPr>
          <w:rFonts w:ascii="Times New Roman" w:hAnsi="Times New Roman" w:eastAsia="Times New Roman"/>
          <w:b w:val="0"/>
          <w:i w:val="0"/>
          <w:sz w:val="26"/>
        </w:rPr>
        <w:t>5. Chế tài thương mại và giải quyết tranh chấp (Chương VII)[1];</w:t>
      </w:r>
    </w:p>
    <w:p>
      <w:pPr>
        <w:spacing w:after="60" w:before="0" w:line="276" w:lineRule="auto"/>
        <w:ind w:firstLine="283"/>
        <w:jc w:val="both"/>
      </w:pPr>
      <w:r>
        <w:rPr>
          <w:rFonts w:ascii="Times New Roman" w:hAnsi="Times New Roman" w:eastAsia="Times New Roman"/>
          <w:b w:val="0"/>
          <w:i w:val="0"/>
          <w:sz w:val="26"/>
        </w:rPr>
        <w:t>6. Cam kết FTA liên quan hàng xuất khẩu; chứng từ xuất xứ; thuận lợi hóa thương mại.</w:t>
      </w:r>
    </w:p>
    <w:p>
      <w:pPr>
        <w:spacing w:after="60" w:before="0" w:line="276" w:lineRule="auto"/>
      </w:pPr>
      <w:r>
        <w:rPr>
          <w:rFonts w:ascii="Times New Roman" w:hAnsi="Times New Roman" w:eastAsia="Times New Roman"/>
          <w:b/>
          <w:i w:val="0"/>
          <w:sz w:val="26"/>
        </w:rPr>
        <w:t>Đánh giá:</w:t>
      </w:r>
      <w:r>
        <w:rPr>
          <w:rFonts w:ascii="Times New Roman" w:hAnsi="Times New Roman" w:eastAsia="Times New Roman"/>
          <w:b w:val="0"/>
          <w:i w:val="0"/>
          <w:sz w:val="26"/>
        </w:rPr>
        <w:t xml:space="preserve"> Công tác tuyên truyền đã góp phần nâng cao nhận thức tuân thủ; tuy nhiên nguồn lực pháp chế chuyên sâu còn mỏng; việc cập nhật đồng bộ giữa Luật Thương mại với Luật Quản lý ngoại thương, pháp luật PCCC mới và yêu cầu thị trường xuất khẩu (tiêu chuẩn kỹ thuật, tiêu chí xanh) còn bị động ở một số thời điểm.</w:t>
      </w:r>
    </w:p>
    <w:p>
      <w:pPr>
        <w:spacing w:after="80" w:before="200" w:line="276" w:lineRule="auto"/>
      </w:pPr>
      <w:r>
        <w:rPr>
          <w:rFonts w:ascii="Times New Roman" w:hAnsi="Times New Roman" w:eastAsia="Times New Roman"/>
          <w:b/>
          <w:i w:val="0"/>
          <w:sz w:val="26"/>
        </w:rPr>
        <w:t>I.3. Tổ chức bộ máy và cơ chế phối hợp thực hiện</w:t>
      </w:r>
    </w:p>
    <w:p>
      <w:pPr>
        <w:spacing w:after="120" w:before="0" w:line="276" w:lineRule="auto"/>
        <w:ind w:firstLine="567"/>
        <w:jc w:val="both"/>
      </w:pPr>
      <w:r>
        <w:rPr>
          <w:rFonts w:ascii="Times New Roman" w:hAnsi="Times New Roman" w:eastAsia="Times New Roman"/>
          <w:b w:val="0"/>
          <w:i w:val="0"/>
          <w:sz w:val="26"/>
        </w:rPr>
        <w:t>Công ty phân công đầu mối theo dõi pháp luật thương mại tại bộ phận pháp chế/đơn vị được giao nhiệm vụ tương đương; phối hợp với phòng kinh doanh, xuất nhập khẩu và kỹ thuật. Đối với hợp đồng có yếu tố nước ngoài hoặc hợp đồng gia công có yêu cầu bảo mật, áp dụng quy trình phê duyệt nhiều lớp theo quy chế nội bộ và quy định của cơ quan chủ quản.</w:t>
      </w:r>
    </w:p>
    <w:p>
      <w:pPr>
        <w:spacing w:after="80" w:before="200" w:line="276" w:lineRule="auto"/>
      </w:pPr>
      <w:r>
        <w:rPr>
          <w:rFonts w:ascii="Times New Roman" w:hAnsi="Times New Roman" w:eastAsia="Times New Roman"/>
          <w:b/>
          <w:i w:val="0"/>
          <w:sz w:val="26"/>
        </w:rPr>
        <w:t>I.4. Đánh giá khái quát Mục I</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E2F3" w:val="clear"/>
          </w:tcPr>
          <w:p>
            <w:pPr>
              <w:jc w:val="left"/>
            </w:pPr>
            <w:r/>
            <w:r>
              <w:rPr>
                <w:rFonts w:ascii="Times New Roman" w:hAnsi="Times New Roman" w:eastAsia="Times New Roman"/>
                <w:b/>
                <w:i w:val="0"/>
                <w:sz w:val="22"/>
              </w:rPr>
              <w:t>Nội dung</w:t>
            </w:r>
          </w:p>
        </w:tc>
        <w:tc>
          <w:tcPr>
            <w:tcW w:type="dxa" w:w="3024"/>
            <w:shd w:fill="D9E2F3" w:val="clear"/>
          </w:tcPr>
          <w:p>
            <w:pPr>
              <w:jc w:val="left"/>
            </w:pPr>
            <w:r/>
            <w:r>
              <w:rPr>
                <w:rFonts w:ascii="Times New Roman" w:hAnsi="Times New Roman" w:eastAsia="Times New Roman"/>
                <w:b/>
                <w:i w:val="0"/>
                <w:sz w:val="22"/>
              </w:rPr>
              <w:t>Kết quả đạt được</w:t>
            </w:r>
          </w:p>
        </w:tc>
        <w:tc>
          <w:tcPr>
            <w:tcW w:type="dxa" w:w="3024"/>
            <w:shd w:fill="D9E2F3" w:val="clear"/>
          </w:tcPr>
          <w:p>
            <w:pPr>
              <w:jc w:val="left"/>
            </w:pPr>
            <w:r/>
            <w:r>
              <w:rPr>
                <w:rFonts w:ascii="Times New Roman" w:hAnsi="Times New Roman" w:eastAsia="Times New Roman"/>
                <w:b/>
                <w:i w:val="0"/>
                <w:sz w:val="22"/>
              </w:rPr>
              <w:t>Tồn tại, hạn chế</w:t>
            </w:r>
          </w:p>
        </w:tc>
      </w:tr>
      <w:tr>
        <w:tc>
          <w:tcPr>
            <w:tcW w:type="dxa" w:w="3024"/>
          </w:tcPr>
          <w:p>
            <w:pPr>
              <w:jc w:val="left"/>
            </w:pPr>
            <w:r/>
            <w:r>
              <w:rPr>
                <w:rFonts w:ascii="Times New Roman" w:hAnsi="Times New Roman" w:eastAsia="Times New Roman"/>
                <w:b w:val="0"/>
                <w:i w:val="0"/>
                <w:sz w:val="22"/>
              </w:rPr>
              <w:t>Chỉ đạo, triển khai</w:t>
            </w:r>
          </w:p>
        </w:tc>
        <w:tc>
          <w:tcPr>
            <w:tcW w:type="dxa" w:w="3024"/>
          </w:tcPr>
          <w:p>
            <w:pPr>
              <w:jc w:val="left"/>
            </w:pPr>
            <w:r/>
            <w:r>
              <w:rPr>
                <w:rFonts w:ascii="Times New Roman" w:hAnsi="Times New Roman" w:eastAsia="Times New Roman"/>
                <w:b w:val="0"/>
                <w:i w:val="0"/>
                <w:sz w:val="22"/>
              </w:rPr>
              <w:t>Có quán triệt và cụ thể hóa thành quy trình nội bộ</w:t>
            </w:r>
          </w:p>
        </w:tc>
        <w:tc>
          <w:tcPr>
            <w:tcW w:type="dxa" w:w="3024"/>
          </w:tcPr>
          <w:p>
            <w:pPr>
              <w:jc w:val="left"/>
            </w:pPr>
            <w:r/>
            <w:r>
              <w:rPr>
                <w:rFonts w:ascii="Times New Roman" w:hAnsi="Times New Roman" w:eastAsia="Times New Roman"/>
                <w:b w:val="0"/>
                <w:i w:val="0"/>
                <w:sz w:val="22"/>
              </w:rPr>
              <w:t>Chưa có chương trình tổng kết chuyên đề Luật Thương mại theo chu kỳ ổn định</w:t>
            </w:r>
          </w:p>
        </w:tc>
      </w:tr>
      <w:tr>
        <w:tc>
          <w:tcPr>
            <w:tcW w:type="dxa" w:w="3024"/>
          </w:tcPr>
          <w:p>
            <w:pPr>
              <w:jc w:val="left"/>
            </w:pPr>
            <w:r/>
            <w:r>
              <w:rPr>
                <w:rFonts w:ascii="Times New Roman" w:hAnsi="Times New Roman" w:eastAsia="Times New Roman"/>
                <w:b w:val="0"/>
                <w:i w:val="0"/>
                <w:sz w:val="22"/>
              </w:rPr>
              <w:t>Tuyên truyền, tập huấn</w:t>
            </w:r>
          </w:p>
        </w:tc>
        <w:tc>
          <w:tcPr>
            <w:tcW w:type="dxa" w:w="3024"/>
          </w:tcPr>
          <w:p>
            <w:pPr>
              <w:jc w:val="left"/>
            </w:pPr>
            <w:r/>
            <w:r>
              <w:rPr>
                <w:rFonts w:ascii="Times New Roman" w:hAnsi="Times New Roman" w:eastAsia="Times New Roman"/>
                <w:b w:val="0"/>
                <w:i w:val="0"/>
                <w:sz w:val="22"/>
              </w:rPr>
              <w:t>Định kỳ phổ biến các nhóm quy định cốt lõi</w:t>
            </w:r>
          </w:p>
        </w:tc>
        <w:tc>
          <w:tcPr>
            <w:tcW w:type="dxa" w:w="3024"/>
          </w:tcPr>
          <w:p>
            <w:pPr>
              <w:jc w:val="left"/>
            </w:pPr>
            <w:r/>
            <w:r>
              <w:rPr>
                <w:rFonts w:ascii="Times New Roman" w:hAnsi="Times New Roman" w:eastAsia="Times New Roman"/>
                <w:b w:val="0"/>
                <w:i w:val="0"/>
                <w:sz w:val="22"/>
              </w:rPr>
              <w:t>Chưa phủ đều tới toàn bộ người ký/thực hiện hợp đồng; thiếu bộ tài liệu cập nhật theo FTA/thương mại xanh</w:t>
            </w:r>
          </w:p>
        </w:tc>
      </w:tr>
      <w:tr>
        <w:tc>
          <w:tcPr>
            <w:tcW w:type="dxa" w:w="3024"/>
          </w:tcPr>
          <w:p>
            <w:pPr>
              <w:jc w:val="left"/>
            </w:pPr>
            <w:r/>
            <w:r>
              <w:rPr>
                <w:rFonts w:ascii="Times New Roman" w:hAnsi="Times New Roman" w:eastAsia="Times New Roman"/>
                <w:b w:val="0"/>
                <w:i w:val="0"/>
                <w:sz w:val="22"/>
              </w:rPr>
              <w:t>Tổ chức thi hành</w:t>
            </w:r>
          </w:p>
        </w:tc>
        <w:tc>
          <w:tcPr>
            <w:tcW w:type="dxa" w:w="3024"/>
          </w:tcPr>
          <w:p>
            <w:pPr>
              <w:jc w:val="left"/>
            </w:pPr>
            <w:r/>
            <w:r>
              <w:rPr>
                <w:rFonts w:ascii="Times New Roman" w:hAnsi="Times New Roman" w:eastAsia="Times New Roman"/>
                <w:b w:val="0"/>
                <w:i w:val="0"/>
                <w:sz w:val="22"/>
              </w:rPr>
              <w:t>Có đầu mối và quy trình phối hợp</w:t>
            </w:r>
          </w:p>
        </w:tc>
        <w:tc>
          <w:tcPr>
            <w:tcW w:type="dxa" w:w="3024"/>
          </w:tcPr>
          <w:p>
            <w:pPr>
              <w:jc w:val="left"/>
            </w:pPr>
            <w:r/>
            <w:r>
              <w:rPr>
                <w:rFonts w:ascii="Times New Roman" w:hAnsi="Times New Roman" w:eastAsia="Times New Roman"/>
                <w:b w:val="0"/>
                <w:i w:val="0"/>
                <w:sz w:val="22"/>
              </w:rPr>
              <w:t>Năng lực đàm phán điều khoản quốc tế, trọng tài thương mại còn hạn chế</w:t>
            </w:r>
          </w:p>
        </w:tc>
      </w:tr>
    </w:tbl>
    <w:p/>
    <w:p>
      <w:pPr>
        <w:spacing w:after="120" w:before="200" w:line="276" w:lineRule="auto"/>
        <w:jc w:val="center"/>
      </w:pPr>
      <w:r>
        <w:rPr>
          <w:rFonts w:ascii="Times New Roman" w:hAnsi="Times New Roman" w:eastAsia="Times New Roman"/>
          <w:b/>
          <w:i w:val="0"/>
          <w:sz w:val="28"/>
        </w:rPr>
        <w:t>II. KẾT QUẢ THI HÀNH LUẬT THƯƠNG MẠI</w:t>
      </w:r>
    </w:p>
    <w:p>
      <w:pPr>
        <w:spacing w:after="80" w:before="200" w:line="276" w:lineRule="auto"/>
      </w:pPr>
      <w:r>
        <w:rPr>
          <w:rFonts w:ascii="Times New Roman" w:hAnsi="Times New Roman" w:eastAsia="Times New Roman"/>
          <w:b/>
          <w:i w:val="0"/>
          <w:sz w:val="26"/>
        </w:rPr>
        <w:t>II.0. Khung đánh giá chung</w:t>
      </w:r>
    </w:p>
    <w:p>
      <w:pPr>
        <w:spacing w:after="120" w:before="0" w:line="276" w:lineRule="auto"/>
        <w:ind w:firstLine="567"/>
        <w:jc w:val="both"/>
      </w:pPr>
      <w:r>
        <w:rPr>
          <w:rFonts w:ascii="Times New Roman" w:hAnsi="Times New Roman" w:eastAsia="Times New Roman"/>
          <w:b w:val="0"/>
          <w:i w:val="0"/>
          <w:sz w:val="26"/>
        </w:rPr>
        <w:t>Theo khoản 1 Điều 3 Luật Thương mại năm 2005, hoạt động thương mại là hoạt động nhằm mục đích sinh lợi, bao gồm mua bán hàng hóa, cung ứng dịch vụ, đầu tư, xúc tiến thương mại và các hoạt động nhằm mục đích sinh lợi khác[1]. Các hoạt động chính của Công ty đều thuộc phạm vi điều chỉnh nêu trên, đồng thời chịu sự điều chỉnh của pháp luật có liên quan theo Điều 4 và Điều 5 Luật Thương mại năm 2005[1].</w:t>
      </w:r>
    </w:p>
    <w:p>
      <w:pPr>
        <w:spacing w:after="120" w:before="0" w:line="276" w:lineRule="auto"/>
        <w:ind w:firstLine="567"/>
        <w:jc w:val="both"/>
      </w:pPr>
      <w:r>
        <w:rPr>
          <w:rFonts w:ascii="Times New Roman" w:hAnsi="Times New Roman" w:eastAsia="Times New Roman"/>
          <w:b w:val="0"/>
          <w:i w:val="0"/>
          <w:sz w:val="26"/>
        </w:rPr>
        <w:t>Dưới đây đánh giá theo từng Chương; mỗi Chương gồm: quy định liên quan – thực tiễn áp dụng – kết quả/tác động – tồn tại, hạn chế.</w:t>
      </w:r>
    </w:p>
    <w:p>
      <w:pPr>
        <w:spacing w:after="80" w:before="200" w:line="276" w:lineRule="auto"/>
      </w:pPr>
      <w:r>
        <w:rPr>
          <w:rFonts w:ascii="Times New Roman" w:hAnsi="Times New Roman" w:eastAsia="Times New Roman"/>
          <w:b/>
          <w:i w:val="0"/>
          <w:sz w:val="26"/>
        </w:rPr>
        <w:t>II.1. Chương I – Những quy định chung</w:t>
      </w:r>
    </w:p>
    <w:p>
      <w:pPr>
        <w:spacing w:after="60" w:before="160" w:line="276" w:lineRule="auto"/>
      </w:pPr>
      <w:r>
        <w:rPr>
          <w:rFonts w:ascii="Times New Roman" w:hAnsi="Times New Roman" w:eastAsia="Times New Roman"/>
          <w:b/>
          <w:i w:val="0"/>
          <w:sz w:val="26"/>
        </w:rPr>
        <w:t>2.1.1. Quy định liên quan</w:t>
      </w:r>
    </w:p>
    <w:p>
      <w:pPr>
        <w:pStyle w:val="ListBullet"/>
        <w:spacing w:after="60" w:line="276" w:lineRule="auto"/>
        <w:jc w:val="both"/>
      </w:pPr>
      <w:r>
        <w:rPr>
          <w:rFonts w:ascii="Times New Roman" w:hAnsi="Times New Roman" w:eastAsia="Times New Roman"/>
          <w:b w:val="0"/>
          <w:i w:val="0"/>
          <w:sz w:val="26"/>
        </w:rPr>
        <w:t>Phạm vi điều chỉnh, đối tượng áp dụng: Điều 1, Điều 2 Luật Thương mại năm 2005[1].</w:t>
      </w:r>
    </w:p>
    <w:p>
      <w:pPr>
        <w:pStyle w:val="ListBullet"/>
        <w:spacing w:after="60" w:line="276" w:lineRule="auto"/>
        <w:jc w:val="both"/>
      </w:pPr>
      <w:r>
        <w:rPr>
          <w:rFonts w:ascii="Times New Roman" w:hAnsi="Times New Roman" w:eastAsia="Times New Roman"/>
          <w:b w:val="0"/>
          <w:i w:val="0"/>
          <w:sz w:val="26"/>
        </w:rPr>
        <w:t>Khái niệm hoạt động thương mại, thương nhân: khoản 1 Điều 3, Điều 6 Luật Thương mại năm 2005[1].</w:t>
      </w:r>
    </w:p>
    <w:p>
      <w:pPr>
        <w:pStyle w:val="ListBullet"/>
        <w:spacing w:after="60" w:line="276" w:lineRule="auto"/>
        <w:jc w:val="both"/>
      </w:pPr>
      <w:r>
        <w:rPr>
          <w:rFonts w:ascii="Times New Roman" w:hAnsi="Times New Roman" w:eastAsia="Times New Roman"/>
          <w:b w:val="0"/>
          <w:i w:val="0"/>
          <w:sz w:val="26"/>
        </w:rPr>
        <w:t>Quyền kinh doanh thương mại tự do trong các ngành, nghề mà pháp luật không cấm: Điều 7 Luật Thương mại năm 2005[1].</w:t>
      </w:r>
    </w:p>
    <w:p>
      <w:pPr>
        <w:pStyle w:val="ListBullet"/>
        <w:spacing w:after="60" w:line="276" w:lineRule="auto"/>
        <w:jc w:val="both"/>
      </w:pPr>
      <w:r>
        <w:rPr>
          <w:rFonts w:ascii="Times New Roman" w:hAnsi="Times New Roman" w:eastAsia="Times New Roman"/>
          <w:b w:val="0"/>
          <w:i w:val="0"/>
          <w:sz w:val="26"/>
        </w:rPr>
        <w:t>Áp dụng điều ước quốc tế, tập quán thương mại: Điều 5 Luật Thương mại năm 2005[1].</w:t>
      </w:r>
    </w:p>
    <w:p>
      <w:pPr>
        <w:spacing w:after="60" w:before="160" w:line="276" w:lineRule="auto"/>
      </w:pPr>
      <w:r>
        <w:rPr>
          <w:rFonts w:ascii="Times New Roman" w:hAnsi="Times New Roman" w:eastAsia="Times New Roman"/>
          <w:b/>
          <w:i w:val="0"/>
          <w:sz w:val="26"/>
        </w:rPr>
        <w:t>2.1.2. Thực tiễn áp dụng tại Công ty</w:t>
      </w:r>
    </w:p>
    <w:p>
      <w:pPr>
        <w:spacing w:after="120" w:before="0" w:line="276" w:lineRule="auto"/>
        <w:ind w:firstLine="567"/>
        <w:jc w:val="both"/>
      </w:pPr>
      <w:r>
        <w:rPr>
          <w:rFonts w:ascii="Times New Roman" w:hAnsi="Times New Roman" w:eastAsia="Times New Roman"/>
          <w:b w:val="0"/>
          <w:i w:val="0"/>
          <w:sz w:val="26"/>
        </w:rPr>
        <w:t>Công ty với tư cách thương nhân (doanh nghiệp được thành lập hợp pháp, có đăng ký kinh doanh) tham gia hoạt động thương mại dân sự song song nhiệm vụ thuộc lĩnh vực công nghiệp quốc phòng. Nguyên tắc tự do thỏa thuận trong hợp đồng được áp dụng rộng rãi trong mua bán vật tư, gia công, xuất khẩu; tuy nhiên bị giới hạn bởi:</w:t>
      </w:r>
    </w:p>
    <w:p>
      <w:pPr>
        <w:pStyle w:val="ListBullet"/>
        <w:spacing w:after="60" w:line="276" w:lineRule="auto"/>
        <w:jc w:val="both"/>
      </w:pPr>
      <w:r>
        <w:rPr>
          <w:rFonts w:ascii="Times New Roman" w:hAnsi="Times New Roman" w:eastAsia="Times New Roman"/>
          <w:b w:val="0"/>
          <w:i w:val="0"/>
          <w:sz w:val="26"/>
        </w:rPr>
        <w:t>Pháp luật về ngành, nghề đầu tư kinh doanh có điều kiện (thiết bị PCCC);</w:t>
      </w:r>
    </w:p>
    <w:p>
      <w:pPr>
        <w:pStyle w:val="ListBullet"/>
        <w:spacing w:after="60" w:line="276" w:lineRule="auto"/>
        <w:jc w:val="both"/>
      </w:pPr>
      <w:r>
        <w:rPr>
          <w:rFonts w:ascii="Times New Roman" w:hAnsi="Times New Roman" w:eastAsia="Times New Roman"/>
          <w:b w:val="0"/>
          <w:i w:val="0"/>
          <w:sz w:val="26"/>
        </w:rPr>
        <w:t>Pháp luật quốc phòng, bảo vệ bí mật nhà nước, kiểm soát hàng hóa/công nghệ nhạy cảm;</w:t>
      </w:r>
    </w:p>
    <w:p>
      <w:pPr>
        <w:pStyle w:val="ListBullet"/>
        <w:spacing w:after="60" w:line="276" w:lineRule="auto"/>
        <w:jc w:val="both"/>
      </w:pPr>
      <w:r>
        <w:rPr>
          <w:rFonts w:ascii="Times New Roman" w:hAnsi="Times New Roman" w:eastAsia="Times New Roman"/>
          <w:b w:val="0"/>
          <w:i w:val="0"/>
          <w:sz w:val="26"/>
        </w:rPr>
        <w:t>Điều lệ, quy chế quản lý vốn nhà nước tại doanh nghiệp.</w:t>
      </w:r>
    </w:p>
    <w:p>
      <w:pPr>
        <w:spacing w:after="60" w:before="160" w:line="276" w:lineRule="auto"/>
      </w:pPr>
      <w:r>
        <w:rPr>
          <w:rFonts w:ascii="Times New Roman" w:hAnsi="Times New Roman" w:eastAsia="Times New Roman"/>
          <w:b/>
          <w:i w:val="0"/>
          <w:sz w:val="26"/>
        </w:rPr>
        <w:t>2.1.3. Kết quả và tác động</w:t>
      </w:r>
    </w:p>
    <w:p>
      <w:pPr>
        <w:spacing w:after="120" w:before="0" w:line="276" w:lineRule="auto"/>
        <w:ind w:firstLine="567"/>
        <w:jc w:val="both"/>
      </w:pPr>
      <w:r>
        <w:rPr>
          <w:rFonts w:ascii="Times New Roman" w:hAnsi="Times New Roman" w:eastAsia="Times New Roman"/>
          <w:b w:val="0"/>
          <w:i w:val="0"/>
          <w:sz w:val="26"/>
        </w:rPr>
        <w:t>Chương I tạo khung pháp lý nền tảng để Công ty xác định quyền và nghĩa vụ khi tham gia thị trường, tạo cơ sở dẫn chiếu khi xây dựng hợp đồng và giải quyết phát sinh. Việc ghi nhận nguyên tắc tôn trọng điều ước quốc tế tại Điều 5[1] hỗ trợ định hướng tuân thủ FTA trong xuất khẩu.</w:t>
      </w:r>
    </w:p>
    <w:p>
      <w:pPr>
        <w:spacing w:after="60" w:before="160" w:line="276" w:lineRule="auto"/>
      </w:pPr>
      <w:r>
        <w:rPr>
          <w:rFonts w:ascii="Times New Roman" w:hAnsi="Times New Roman" w:eastAsia="Times New Roman"/>
          <w:b/>
          <w:i w:val="0"/>
          <w:sz w:val="26"/>
        </w:rPr>
        <w:t>2.1.4. Tồn tại, hạn chế (gắn Phụ lục II)</w:t>
      </w:r>
    </w:p>
    <w:p>
      <w:pPr>
        <w:spacing w:after="120" w:before="0" w:line="276" w:lineRule="auto"/>
        <w:ind w:firstLine="567"/>
        <w:jc w:val="both"/>
      </w:pPr>
      <w:r>
        <w:rPr>
          <w:rFonts w:ascii="Times New Roman" w:hAnsi="Times New Roman" w:eastAsia="Times New Roman"/>
          <w:b w:val="0"/>
          <w:i w:val="0"/>
          <w:sz w:val="26"/>
        </w:rPr>
        <w:t>Thực tiễn cho thấy phạm vi “hoạt động thương mại” tại khoản 1 Điều 3[1] khá rộng và giao thoa với:</w:t>
      </w:r>
    </w:p>
    <w:p>
      <w:pPr>
        <w:pStyle w:val="ListBullet"/>
        <w:spacing w:after="60" w:line="276" w:lineRule="auto"/>
        <w:jc w:val="both"/>
      </w:pPr>
      <w:r>
        <w:rPr>
          <w:rFonts w:ascii="Times New Roman" w:hAnsi="Times New Roman" w:eastAsia="Times New Roman"/>
          <w:b w:val="0"/>
          <w:i w:val="0"/>
          <w:sz w:val="26"/>
        </w:rPr>
        <w:t>Bộ luật Dân sự số 91/2015/QH13 (chế định hợp đồng, trách nhiệm dân sự)[6];</w:t>
      </w:r>
    </w:p>
    <w:p>
      <w:pPr>
        <w:pStyle w:val="ListBullet"/>
        <w:spacing w:after="60" w:line="276" w:lineRule="auto"/>
        <w:jc w:val="both"/>
      </w:pPr>
      <w:r>
        <w:rPr>
          <w:rFonts w:ascii="Times New Roman" w:hAnsi="Times New Roman" w:eastAsia="Times New Roman"/>
          <w:b w:val="0"/>
          <w:i w:val="0"/>
          <w:sz w:val="26"/>
        </w:rPr>
        <w:t>Luật Doanh nghiệp số 59/2020/QH14 (tổ chức quản trị, thẩm quyền đại diện)[7];</w:t>
      </w:r>
    </w:p>
    <w:p>
      <w:pPr>
        <w:pStyle w:val="ListBullet"/>
        <w:spacing w:after="60" w:line="276" w:lineRule="auto"/>
        <w:jc w:val="both"/>
      </w:pPr>
      <w:r>
        <w:rPr>
          <w:rFonts w:ascii="Times New Roman" w:hAnsi="Times New Roman" w:eastAsia="Times New Roman"/>
          <w:b w:val="0"/>
          <w:i w:val="0"/>
          <w:sz w:val="26"/>
        </w:rPr>
        <w:t>Luật Đầu tư số 61/2020/QH14 (ngành nghề có điều kiện, ưu đãi, bảo đảm đầu tư)[8];</w:t>
      </w:r>
    </w:p>
    <w:p>
      <w:pPr>
        <w:pStyle w:val="ListBullet"/>
        <w:spacing w:after="60" w:line="276" w:lineRule="auto"/>
        <w:jc w:val="both"/>
      </w:pPr>
      <w:r>
        <w:rPr>
          <w:rFonts w:ascii="Times New Roman" w:hAnsi="Times New Roman" w:eastAsia="Times New Roman"/>
          <w:b w:val="0"/>
          <w:i w:val="0"/>
          <w:sz w:val="26"/>
        </w:rPr>
        <w:t>Pháp luật công nghiệp quốc phòng và quản lý doanh nghiệp nhà nước.</w:t>
      </w:r>
    </w:p>
    <w:p>
      <w:pPr>
        <w:spacing w:after="60" w:before="0" w:line="276" w:lineRule="auto"/>
      </w:pPr>
      <w:r>
        <w:rPr>
          <w:rFonts w:ascii="Times New Roman" w:hAnsi="Times New Roman" w:eastAsia="Times New Roman"/>
          <w:b/>
          <w:i w:val="0"/>
          <w:sz w:val="26"/>
        </w:rPr>
        <w:t>Nhận định:</w:t>
      </w:r>
      <w:r>
        <w:rPr>
          <w:rFonts w:ascii="Times New Roman" w:hAnsi="Times New Roman" w:eastAsia="Times New Roman"/>
          <w:b w:val="0"/>
          <w:i w:val="0"/>
          <w:sz w:val="26"/>
        </w:rPr>
        <w:t xml:space="preserve"> Nếu Luật Thương mại kết thúc hiệu lực hoặc được thiết kế lại, cần xác định rõ luật nào tiếp tục điều chỉnh nguyên tắc chung về hoạt động thương mại của thương nhân; tránh khoảng trống với nhóm doanh nghiệp quốc phòng có hoạt động sản xuất – kinh doanh lưỡng dụng.</w:t>
      </w:r>
    </w:p>
    <w:p>
      <w:pPr>
        <w:spacing w:after="80" w:before="200" w:line="276" w:lineRule="auto"/>
      </w:pPr>
      <w:r>
        <w:rPr>
          <w:rFonts w:ascii="Times New Roman" w:hAnsi="Times New Roman" w:eastAsia="Times New Roman"/>
          <w:b/>
          <w:i w:val="0"/>
          <w:sz w:val="26"/>
        </w:rPr>
        <w:t>II.2. Chương II – Mua bán hàng hóa</w:t>
      </w:r>
    </w:p>
    <w:p>
      <w:pPr>
        <w:spacing w:after="120" w:before="0" w:line="276" w:lineRule="auto"/>
        <w:ind w:firstLine="567"/>
        <w:jc w:val="both"/>
      </w:pPr>
      <w:r>
        <w:rPr>
          <w:rFonts w:ascii="Times New Roman" w:hAnsi="Times New Roman" w:eastAsia="Times New Roman"/>
          <w:b w:val="0"/>
          <w:i w:val="0"/>
          <w:sz w:val="26"/>
        </w:rPr>
        <w:t>*(Trọng tâm theo Phụ lục II – Bộ Quốc phòng được phân công)*</w:t>
      </w:r>
    </w:p>
    <w:p>
      <w:pPr>
        <w:spacing w:after="60" w:before="160" w:line="276" w:lineRule="auto"/>
      </w:pPr>
      <w:r>
        <w:rPr>
          <w:rFonts w:ascii="Times New Roman" w:hAnsi="Times New Roman" w:eastAsia="Times New Roman"/>
          <w:b/>
          <w:i w:val="0"/>
          <w:sz w:val="26"/>
        </w:rPr>
        <w:t>2.2.1. Quy định liên quan</w:t>
      </w:r>
    </w:p>
    <w:p>
      <w:pPr>
        <w:pStyle w:val="ListBullet"/>
        <w:spacing w:after="60" w:line="276" w:lineRule="auto"/>
        <w:jc w:val="both"/>
      </w:pPr>
      <w:r>
        <w:rPr>
          <w:rFonts w:ascii="Times New Roman" w:hAnsi="Times New Roman" w:eastAsia="Times New Roman"/>
          <w:b w:val="0"/>
          <w:i w:val="0"/>
          <w:sz w:val="26"/>
        </w:rPr>
        <w:t>Các quy định chung về mua bán hàng hóa tại Chương II Luật Thương mại năm 2005[1].</w:t>
      </w:r>
    </w:p>
    <w:p>
      <w:pPr>
        <w:pStyle w:val="ListBullet"/>
        <w:spacing w:after="60" w:line="276" w:lineRule="auto"/>
        <w:jc w:val="both"/>
      </w:pPr>
      <w:r>
        <w:rPr>
          <w:rFonts w:ascii="Times New Roman" w:hAnsi="Times New Roman" w:eastAsia="Times New Roman"/>
          <w:b w:val="0"/>
          <w:i w:val="0"/>
          <w:sz w:val="26"/>
        </w:rPr>
        <w:t>Mua bán hàng hóa quốc tế được thực hiện dưới các hình thức xuất khẩu; nhập khẩu; tạm nhập, tái xuất; tạm xuất, tái nhập; chuyển khẩu theo Điều 27 Luật Thương mại năm 2005[1].</w:t>
      </w:r>
    </w:p>
    <w:p>
      <w:pPr>
        <w:pStyle w:val="ListBullet"/>
        <w:spacing w:after="60" w:line="276" w:lineRule="auto"/>
        <w:jc w:val="both"/>
      </w:pPr>
      <w:r>
        <w:rPr>
          <w:rFonts w:ascii="Times New Roman" w:hAnsi="Times New Roman" w:eastAsia="Times New Roman"/>
          <w:b w:val="0"/>
          <w:i w:val="0"/>
          <w:sz w:val="26"/>
        </w:rPr>
        <w:t>Từ năm 2017–2018 trở đi, nhiều nội dung quản lý nhà nước về xuất nhập khẩu được Luật Quản lý ngoại thương số 05/2017/QH14 và Nghị định số 69/2018/NĐ-CP ngày 15 tháng 5 năm 2018 quy định chi tiết[9][10].</w:t>
      </w:r>
    </w:p>
    <w:p>
      <w:pPr>
        <w:pStyle w:val="ListBullet"/>
        <w:spacing w:after="60" w:line="276" w:lineRule="auto"/>
        <w:jc w:val="both"/>
      </w:pPr>
      <w:r>
        <w:rPr>
          <w:rFonts w:ascii="Times New Roman" w:hAnsi="Times New Roman" w:eastAsia="Times New Roman"/>
          <w:b w:val="0"/>
          <w:i w:val="0"/>
          <w:sz w:val="26"/>
        </w:rPr>
        <w:t>Hoạt động mua bán hàng hóa của nhà đầu tư nước ngoài, tổ chức kinh tế có vốn đầu tư nước ngoài: Nghị định số 09/2018/NĐ-CP ngày 15 tháng 01 năm 2018[11] (liên quan khi Công ty giao dịch với đối tác FDI/phân phối).</w:t>
      </w:r>
    </w:p>
    <w:p>
      <w:pPr>
        <w:spacing w:after="60" w:before="160" w:line="276" w:lineRule="auto"/>
      </w:pPr>
      <w:r>
        <w:rPr>
          <w:rFonts w:ascii="Times New Roman" w:hAnsi="Times New Roman" w:eastAsia="Times New Roman"/>
          <w:b/>
          <w:i w:val="0"/>
          <w:sz w:val="26"/>
        </w:rPr>
        <w:t>2.2.2. Thực tiễn áp dụng theo từng mảng hoạt động</w:t>
      </w:r>
    </w:p>
    <w:p>
      <w:pPr>
        <w:spacing w:after="120" w:before="0" w:line="276" w:lineRule="auto"/>
        <w:ind w:firstLine="567"/>
        <w:jc w:val="both"/>
      </w:pPr>
      <w:r>
        <w:rPr>
          <w:rFonts w:ascii="Times New Roman" w:hAnsi="Times New Roman" w:eastAsia="Times New Roman"/>
          <w:b/>
          <w:i w:val="0"/>
          <w:sz w:val="26"/>
        </w:rPr>
        <w:t>a) Mua bán vật tư, thiết bị phục vụ sản xuất cơ khí chính xác</w:t>
      </w:r>
    </w:p>
    <w:p>
      <w:pPr>
        <w:spacing w:after="120" w:before="0" w:line="276" w:lineRule="auto"/>
        <w:ind w:firstLine="567"/>
        <w:jc w:val="both"/>
      </w:pPr>
      <w:r>
        <w:rPr>
          <w:rFonts w:ascii="Times New Roman" w:hAnsi="Times New Roman" w:eastAsia="Times New Roman"/>
          <w:b w:val="0"/>
          <w:i w:val="0"/>
          <w:sz w:val="26"/>
        </w:rPr>
        <w:t>Công ty ký kết hợp đồng mua bán nguyên vật liệu, linh kiện, máy móc thiết bị theo khung quyền và nghĩa vụ của các bên tại Chương II Luật Thương mại năm 2005[1], đồng thời vận dụng các quy định về hợp đồng của Bộ luật Dân sự năm 2015[6] đối với những nội dung Luật Thương mại không quy định chi tiết.</w:t>
      </w:r>
    </w:p>
    <w:p>
      <w:pPr>
        <w:spacing w:after="120" w:before="0" w:line="276" w:lineRule="auto"/>
        <w:ind w:firstLine="567"/>
        <w:jc w:val="both"/>
      </w:pPr>
      <w:r>
        <w:rPr>
          <w:rFonts w:ascii="Times New Roman" w:hAnsi="Times New Roman" w:eastAsia="Times New Roman"/>
          <w:b/>
          <w:i w:val="0"/>
          <w:sz w:val="26"/>
        </w:rPr>
        <w:t>b) Kinh doanh thiết bị phòng cháy chữa cháy</w:t>
      </w:r>
    </w:p>
    <w:p>
      <w:pPr>
        <w:spacing w:after="120" w:before="0" w:line="276" w:lineRule="auto"/>
        <w:ind w:firstLine="567"/>
        <w:jc w:val="both"/>
      </w:pPr>
      <w:r>
        <w:rPr>
          <w:rFonts w:ascii="Times New Roman" w:hAnsi="Times New Roman" w:eastAsia="Times New Roman"/>
          <w:b w:val="0"/>
          <w:i w:val="0"/>
          <w:sz w:val="26"/>
        </w:rPr>
        <w:t>Đây là hoạt động mua bán hàng hóa gắn điều kiện đầu tư kinh doanh theo pháp luật PCCC và danh mục ngành, nghề có điều kiện theo Luật Đầu tư năm 2020[8]. Công ty phải đồng thời tuân thủ:</w:t>
      </w:r>
    </w:p>
    <w:p>
      <w:pPr>
        <w:pStyle w:val="ListBullet"/>
        <w:spacing w:after="60" w:line="276" w:lineRule="auto"/>
        <w:jc w:val="both"/>
      </w:pPr>
      <w:r>
        <w:rPr>
          <w:rFonts w:ascii="Times New Roman" w:hAnsi="Times New Roman" w:eastAsia="Times New Roman"/>
          <w:b w:val="0"/>
          <w:i w:val="0"/>
          <w:sz w:val="26"/>
        </w:rPr>
        <w:t>Nghĩa vụ của bên bán về chất lượng, bảo hành, giao hàng, chuyển rủi ro theo Luật Thương mại[1];</w:t>
      </w:r>
    </w:p>
    <w:p>
      <w:pPr>
        <w:pStyle w:val="ListBullet"/>
        <w:spacing w:after="60" w:line="276" w:lineRule="auto"/>
        <w:jc w:val="both"/>
      </w:pPr>
      <w:r>
        <w:rPr>
          <w:rFonts w:ascii="Times New Roman" w:hAnsi="Times New Roman" w:eastAsia="Times New Roman"/>
          <w:b w:val="0"/>
          <w:i w:val="0"/>
          <w:sz w:val="26"/>
        </w:rPr>
        <w:t>Điều kiện về giấy phép/chứng nhận, kiểm định, công bố hợp quy và yêu cầu kỹ thuật theo pháp luật PCCC và tiêu chuẩn – quy chuẩn[12].</w:t>
      </w:r>
    </w:p>
    <w:p>
      <w:pPr>
        <w:spacing w:after="120" w:before="0" w:line="276" w:lineRule="auto"/>
        <w:ind w:firstLine="567"/>
        <w:jc w:val="both"/>
      </w:pPr>
      <w:r>
        <w:rPr>
          <w:rFonts w:ascii="Times New Roman" w:hAnsi="Times New Roman" w:eastAsia="Times New Roman"/>
          <w:b/>
          <w:i w:val="0"/>
          <w:sz w:val="26"/>
        </w:rPr>
        <w:t>c) Xuất khẩu hộp sắt đa năng</w:t>
      </w:r>
    </w:p>
    <w:p>
      <w:pPr>
        <w:spacing w:after="120" w:before="0" w:line="276" w:lineRule="auto"/>
        <w:ind w:firstLine="567"/>
        <w:jc w:val="both"/>
      </w:pPr>
      <w:r>
        <w:rPr>
          <w:rFonts w:ascii="Times New Roman" w:hAnsi="Times New Roman" w:eastAsia="Times New Roman"/>
          <w:b w:val="0"/>
          <w:i w:val="0"/>
          <w:sz w:val="26"/>
        </w:rPr>
        <w:t>Hoạt động thuộc hình thức xuất khẩu trong mua bán hàng hóa quốc tế (Điều 27 Luật Thương mại năm 2005)[1], gắn với:</w:t>
      </w:r>
    </w:p>
    <w:p>
      <w:pPr>
        <w:pStyle w:val="ListBullet"/>
        <w:spacing w:after="60" w:line="276" w:lineRule="auto"/>
        <w:jc w:val="both"/>
      </w:pPr>
      <w:r>
        <w:rPr>
          <w:rFonts w:ascii="Times New Roman" w:hAnsi="Times New Roman" w:eastAsia="Times New Roman"/>
          <w:b w:val="0"/>
          <w:i w:val="0"/>
          <w:sz w:val="26"/>
        </w:rPr>
        <w:t>Hợp đồng ngoại thương (điều khoản Incoterms, thanh toán, giao hàng, khiếu nại, luật áp dụng, trọng tài);</w:t>
      </w:r>
    </w:p>
    <w:p>
      <w:pPr>
        <w:pStyle w:val="ListBullet"/>
        <w:spacing w:after="60" w:line="276" w:lineRule="auto"/>
        <w:jc w:val="both"/>
      </w:pPr>
      <w:r>
        <w:rPr>
          <w:rFonts w:ascii="Times New Roman" w:hAnsi="Times New Roman" w:eastAsia="Times New Roman"/>
          <w:b w:val="0"/>
          <w:i w:val="0"/>
          <w:sz w:val="26"/>
        </w:rPr>
        <w:t>Thủ tục hải quan, chính sách thuế, quản lý chuyên ngành theo Luật Quản lý ngoại thương và Nghị định số 69/2018/NĐ-CP[9][10];</w:t>
      </w:r>
    </w:p>
    <w:p>
      <w:pPr>
        <w:pStyle w:val="ListBullet"/>
        <w:spacing w:after="60" w:line="276" w:lineRule="auto"/>
        <w:jc w:val="both"/>
      </w:pPr>
      <w:r>
        <w:rPr>
          <w:rFonts w:ascii="Times New Roman" w:hAnsi="Times New Roman" w:eastAsia="Times New Roman"/>
          <w:b w:val="0"/>
          <w:i w:val="0"/>
          <w:sz w:val="26"/>
        </w:rPr>
        <w:t>Khai thác ưu đãi thuế quan theo các FTA (ATIGA, CPTPP, EVFTA, RCEP, UKVFTA… tùy thị trường)[13].</w:t>
      </w:r>
    </w:p>
    <w:p>
      <w:pPr>
        <w:spacing w:after="60" w:before="160" w:line="276" w:lineRule="auto"/>
      </w:pPr>
      <w:r>
        <w:rPr>
          <w:rFonts w:ascii="Times New Roman" w:hAnsi="Times New Roman" w:eastAsia="Times New Roman"/>
          <w:b/>
          <w:i w:val="0"/>
          <w:sz w:val="26"/>
        </w:rPr>
        <w:t>2.2.3. Thủ tục hành chính và chi phí tuân thủ</w:t>
      </w:r>
    </w:p>
    <w:p>
      <w:pPr>
        <w:spacing w:after="120" w:before="0" w:line="276" w:lineRule="auto"/>
        <w:ind w:firstLine="567"/>
        <w:jc w:val="both"/>
      </w:pPr>
      <w:r>
        <w:rPr>
          <w:rFonts w:ascii="Times New Roman" w:hAnsi="Times New Roman" w:eastAsia="Times New Roman"/>
          <w:b w:val="0"/>
          <w:i w:val="0"/>
          <w:sz w:val="26"/>
        </w:rPr>
        <w:t>Trong quá trình xuất khẩu và kinh doanh PCCC, Công ty thực hiện các TTHC liên quan cấp phép/kiểm tra chuyên ngành, xác nhận xuất xứ, thông quan. Chi phí tuân thủ bao gồm thời gian chuẩn bị hồ sơ, chi phí giám định/kiểm định, chi phí lưu kho – lưu bãi khi phát sinh vướng mắc chứng từ.</w:t>
      </w:r>
    </w:p>
    <w:p>
      <w:pPr>
        <w:spacing w:after="80" w:before="0" w:line="276" w:lineRule="auto"/>
        <w:ind w:firstLine="283"/>
        <w:jc w:val="both"/>
      </w:pPr>
      <w:r>
        <w:rPr>
          <w:rFonts w:ascii="Times New Roman" w:hAnsi="Times New Roman" w:eastAsia="Times New Roman"/>
          <w:b w:val="0"/>
          <w:i/>
          <w:sz w:val="24"/>
        </w:rPr>
        <w:t>Số liệu minh họa cần bổ sung:</w:t>
      </w:r>
    </w:p>
    <w:p>
      <w:pPr>
        <w:spacing w:after="80" w:before="0" w:line="276" w:lineRule="auto"/>
        <w:ind w:firstLine="283"/>
        <w:jc w:val="both"/>
      </w:pPr>
      <w:r>
        <w:rPr>
          <w:rFonts w:ascii="Times New Roman" w:hAnsi="Times New Roman" w:eastAsia="Times New Roman"/>
          <w:b w:val="0"/>
          <w:i/>
          <w:sz w:val="24"/>
        </w:rPr>
        <w:t>- Kim ngạch xuất khẩu hộp sắt đa năng 2016–2026: [Điền số liệu] USD/VND</w:t>
      </w:r>
    </w:p>
    <w:p>
      <w:pPr>
        <w:spacing w:after="80" w:before="0" w:line="276" w:lineRule="auto"/>
        <w:ind w:firstLine="283"/>
        <w:jc w:val="both"/>
      </w:pPr>
      <w:r>
        <w:rPr>
          <w:rFonts w:ascii="Times New Roman" w:hAnsi="Times New Roman" w:eastAsia="Times New Roman"/>
          <w:b w:val="0"/>
          <w:i/>
          <w:sz w:val="24"/>
        </w:rPr>
        <w:t>- Thị trường xuất khẩu chính: [Điền quốc gia/khu vực]</w:t>
      </w:r>
    </w:p>
    <w:p>
      <w:pPr>
        <w:spacing w:after="80" w:before="0" w:line="276" w:lineRule="auto"/>
        <w:ind w:firstLine="283"/>
        <w:jc w:val="both"/>
      </w:pPr>
      <w:r>
        <w:rPr>
          <w:rFonts w:ascii="Times New Roman" w:hAnsi="Times New Roman" w:eastAsia="Times New Roman"/>
          <w:b w:val="0"/>
          <w:i/>
          <w:sz w:val="24"/>
        </w:rPr>
        <w:t>- Số hợp đồng mua bán PCCC/năm: [Điền số liệu]</w:t>
      </w:r>
    </w:p>
    <w:p>
      <w:pPr>
        <w:spacing w:after="80" w:before="0" w:line="276" w:lineRule="auto"/>
        <w:ind w:firstLine="283"/>
        <w:jc w:val="both"/>
      </w:pPr>
      <w:r>
        <w:rPr>
          <w:rFonts w:ascii="Times New Roman" w:hAnsi="Times New Roman" w:eastAsia="Times New Roman"/>
          <w:b w:val="0"/>
          <w:i/>
          <w:sz w:val="24"/>
        </w:rPr>
        <w:t>- Thời gian thông quan trung bình: [Điền số liệu] ngày</w:t>
      </w:r>
    </w:p>
    <w:p>
      <w:pPr>
        <w:spacing w:after="60" w:before="160" w:line="276" w:lineRule="auto"/>
      </w:pPr>
      <w:r>
        <w:rPr>
          <w:rFonts w:ascii="Times New Roman" w:hAnsi="Times New Roman" w:eastAsia="Times New Roman"/>
          <w:b/>
          <w:i w:val="0"/>
          <w:sz w:val="26"/>
        </w:rPr>
        <w:t>2.2.4. Kết quả đạt được</w:t>
      </w:r>
    </w:p>
    <w:p>
      <w:pPr>
        <w:pStyle w:val="ListBullet"/>
        <w:spacing w:after="60" w:line="276" w:lineRule="auto"/>
        <w:jc w:val="both"/>
      </w:pPr>
      <w:r>
        <w:rPr>
          <w:rFonts w:ascii="Times New Roman" w:hAnsi="Times New Roman" w:eastAsia="Times New Roman"/>
          <w:b w:val="0"/>
          <w:i w:val="0"/>
          <w:sz w:val="26"/>
        </w:rPr>
        <w:t>Hình thành được khung hợp đồng mua bán ổn định, giảm rủi ro tranh chấp cơ bản về giao hàng – thanh toán.</w:t>
      </w:r>
    </w:p>
    <w:p>
      <w:pPr>
        <w:pStyle w:val="ListBullet"/>
        <w:spacing w:after="60" w:line="276" w:lineRule="auto"/>
        <w:jc w:val="both"/>
      </w:pPr>
      <w:r>
        <w:rPr>
          <w:rFonts w:ascii="Times New Roman" w:hAnsi="Times New Roman" w:eastAsia="Times New Roman"/>
          <w:b w:val="0"/>
          <w:i w:val="0"/>
          <w:sz w:val="26"/>
        </w:rPr>
        <w:t>Duy trì và mở rộng hoạt động xuất khẩu hộp sắt đa năng, tận dụng một phần ưu đãi FTA.</w:t>
      </w:r>
    </w:p>
    <w:p>
      <w:pPr>
        <w:pStyle w:val="ListBullet"/>
        <w:spacing w:after="60" w:line="276" w:lineRule="auto"/>
        <w:jc w:val="both"/>
      </w:pPr>
      <w:r>
        <w:rPr>
          <w:rFonts w:ascii="Times New Roman" w:hAnsi="Times New Roman" w:eastAsia="Times New Roman"/>
          <w:b w:val="0"/>
          <w:i w:val="0"/>
          <w:sz w:val="26"/>
        </w:rPr>
        <w:t>Kinh doanh thiết bị PCCC đóng góp doanh thu, việc làm và nâng cao năng lực tuân thủ chuyên ngành.</w:t>
      </w:r>
    </w:p>
    <w:p>
      <w:pPr>
        <w:spacing w:after="60" w:before="160" w:line="276" w:lineRule="auto"/>
      </w:pPr>
      <w:r>
        <w:rPr>
          <w:rFonts w:ascii="Times New Roman" w:hAnsi="Times New Roman" w:eastAsia="Times New Roman"/>
          <w:b/>
          <w:i w:val="0"/>
          <w:sz w:val="26"/>
        </w:rPr>
        <w:t>2.2.5. Tồn tại, hạn chế</w:t>
      </w:r>
    </w:p>
    <w:p>
      <w:pPr>
        <w:spacing w:after="60" w:before="0" w:line="276" w:lineRule="auto"/>
        <w:ind w:firstLine="283"/>
        <w:jc w:val="both"/>
      </w:pPr>
      <w:r>
        <w:rPr>
          <w:rFonts w:ascii="Times New Roman" w:hAnsi="Times New Roman" w:eastAsia="Times New Roman"/>
          <w:b w:val="0"/>
          <w:i w:val="0"/>
          <w:sz w:val="26"/>
        </w:rPr>
        <w:t xml:space="preserve">1. </w:t>
      </w:r>
      <w:r>
        <w:rPr>
          <w:rFonts w:ascii="Times New Roman" w:hAnsi="Times New Roman" w:eastAsia="Times New Roman"/>
          <w:b/>
          <w:i w:val="0"/>
          <w:sz w:val="26"/>
        </w:rPr>
        <w:t>Giao thoa Luật Thương mại – Luật Quản lý ngoại thương:</w:t>
      </w:r>
      <w:r>
        <w:rPr>
          <w:rFonts w:ascii="Times New Roman" w:hAnsi="Times New Roman" w:eastAsia="Times New Roman"/>
          <w:b w:val="0"/>
          <w:i w:val="0"/>
          <w:sz w:val="26"/>
        </w:rPr>
        <w:t xml:space="preserve"> Sau khi Luật Quản lý ngoại thương năm 2017 có hiệu lực[9], doanh nghiệp phải đối chiếu đồng thời hai đạo luật; một số thuật ngữ/hình thức XNK tại Điều 27 Luật Thương mại năm 2005[1] cần được phân định rõ hơn về hiệu lực và phạm vi dẫn chiếu.</w:t>
      </w:r>
    </w:p>
    <w:p>
      <w:pPr>
        <w:spacing w:after="60" w:before="0" w:line="276" w:lineRule="auto"/>
        <w:ind w:firstLine="283"/>
        <w:jc w:val="both"/>
      </w:pPr>
      <w:r>
        <w:rPr>
          <w:rFonts w:ascii="Times New Roman" w:hAnsi="Times New Roman" w:eastAsia="Times New Roman"/>
          <w:b w:val="0"/>
          <w:i w:val="0"/>
          <w:sz w:val="26"/>
        </w:rPr>
        <w:t xml:space="preserve">2. </w:t>
      </w:r>
      <w:r>
        <w:rPr>
          <w:rFonts w:ascii="Times New Roman" w:hAnsi="Times New Roman" w:eastAsia="Times New Roman"/>
          <w:b/>
          <w:i w:val="0"/>
          <w:sz w:val="26"/>
        </w:rPr>
        <w:t>Hàng hóa có điều kiện (PCCC):</w:t>
      </w:r>
      <w:r>
        <w:rPr>
          <w:rFonts w:ascii="Times New Roman" w:hAnsi="Times New Roman" w:eastAsia="Times New Roman"/>
          <w:b w:val="0"/>
          <w:i w:val="0"/>
          <w:sz w:val="26"/>
        </w:rPr>
        <w:t xml:space="preserve"> Luật Thương mại chưa gắn kết đủ “cơ chế một cửa” với điều kiện chuyên ngành, khiến chi phí tuân thủ chồng lớp.</w:t>
      </w:r>
    </w:p>
    <w:p>
      <w:pPr>
        <w:spacing w:after="60" w:before="0" w:line="276" w:lineRule="auto"/>
        <w:ind w:firstLine="283"/>
        <w:jc w:val="both"/>
      </w:pPr>
      <w:r>
        <w:rPr>
          <w:rFonts w:ascii="Times New Roman" w:hAnsi="Times New Roman" w:eastAsia="Times New Roman"/>
          <w:b w:val="0"/>
          <w:i w:val="0"/>
          <w:sz w:val="26"/>
        </w:rPr>
        <w:t xml:space="preserve">3. </w:t>
      </w:r>
      <w:r>
        <w:rPr>
          <w:rFonts w:ascii="Times New Roman" w:hAnsi="Times New Roman" w:eastAsia="Times New Roman"/>
          <w:b/>
          <w:i w:val="0"/>
          <w:sz w:val="26"/>
        </w:rPr>
        <w:t>Hợp đồng xuất khẩu:</w:t>
      </w:r>
      <w:r>
        <w:rPr>
          <w:rFonts w:ascii="Times New Roman" w:hAnsi="Times New Roman" w:eastAsia="Times New Roman"/>
          <w:b w:val="0"/>
          <w:i w:val="0"/>
          <w:sz w:val="26"/>
        </w:rPr>
        <w:t xml:space="preserve"> Việc lựa chọn luật áp dụng, phương thức giải quyết tranh chấp quốc tế còn khó khăn do năng lực và chi phí.</w:t>
      </w:r>
    </w:p>
    <w:p>
      <w:pPr>
        <w:spacing w:after="60" w:before="0" w:line="276" w:lineRule="auto"/>
        <w:ind w:firstLine="283"/>
        <w:jc w:val="both"/>
      </w:pPr>
      <w:r>
        <w:rPr>
          <w:rFonts w:ascii="Times New Roman" w:hAnsi="Times New Roman" w:eastAsia="Times New Roman"/>
          <w:b w:val="0"/>
          <w:i w:val="0"/>
          <w:sz w:val="26"/>
        </w:rPr>
        <w:t xml:space="preserve">4. </w:t>
      </w:r>
      <w:r>
        <w:rPr>
          <w:rFonts w:ascii="Times New Roman" w:hAnsi="Times New Roman" w:eastAsia="Times New Roman"/>
          <w:b/>
          <w:i w:val="0"/>
          <w:sz w:val="26"/>
        </w:rPr>
        <w:t>Chứng từ xuất xứ/FTA:</w:t>
      </w:r>
      <w:r>
        <w:rPr>
          <w:rFonts w:ascii="Times New Roman" w:hAnsi="Times New Roman" w:eastAsia="Times New Roman"/>
          <w:b w:val="0"/>
          <w:i w:val="0"/>
          <w:sz w:val="26"/>
        </w:rPr>
        <w:t xml:space="preserve"> Rủi ro bị từ chối ưu đãi khi hồ sơ chưa đồng bộ giữa hợp đồng – hóa đơn – vận đơn – quy trình sản xuất.</w:t>
      </w:r>
    </w:p>
    <w:p>
      <w:pPr>
        <w:spacing w:after="80" w:before="200" w:line="276" w:lineRule="auto"/>
      </w:pPr>
      <w:r>
        <w:rPr>
          <w:rFonts w:ascii="Times New Roman" w:hAnsi="Times New Roman" w:eastAsia="Times New Roman"/>
          <w:b/>
          <w:i w:val="0"/>
          <w:sz w:val="26"/>
        </w:rPr>
        <w:t>II.3. Chương III – Cung ứng dịch vụ</w:t>
      </w:r>
    </w:p>
    <w:p>
      <w:pPr>
        <w:spacing w:after="120" w:before="0" w:line="276" w:lineRule="auto"/>
        <w:ind w:firstLine="567"/>
        <w:jc w:val="both"/>
      </w:pPr>
      <w:r>
        <w:rPr>
          <w:rFonts w:ascii="Times New Roman" w:hAnsi="Times New Roman" w:eastAsia="Times New Roman"/>
          <w:b w:val="0"/>
          <w:i w:val="0"/>
          <w:sz w:val="26"/>
        </w:rPr>
        <w:t>*(Trọng tâm theo Phụ lục II – Bộ Quốc phòng được phân công)*</w:t>
      </w:r>
    </w:p>
    <w:p>
      <w:pPr>
        <w:spacing w:after="60" w:before="160" w:line="276" w:lineRule="auto"/>
      </w:pPr>
      <w:r>
        <w:rPr>
          <w:rFonts w:ascii="Times New Roman" w:hAnsi="Times New Roman" w:eastAsia="Times New Roman"/>
          <w:b/>
          <w:i w:val="0"/>
          <w:sz w:val="26"/>
        </w:rPr>
        <w:t>2.3.1. Quy định liên quan</w:t>
      </w:r>
    </w:p>
    <w:p>
      <w:pPr>
        <w:spacing w:after="120" w:before="0" w:line="276" w:lineRule="auto"/>
        <w:ind w:firstLine="567"/>
        <w:jc w:val="both"/>
      </w:pPr>
      <w:r>
        <w:rPr>
          <w:rFonts w:ascii="Times New Roman" w:hAnsi="Times New Roman" w:eastAsia="Times New Roman"/>
          <w:b w:val="0"/>
          <w:i w:val="0"/>
          <w:sz w:val="26"/>
        </w:rPr>
        <w:t xml:space="preserve">Chương III Luật Thương mại năm 2005 quy định về cung ứng dịch vụ, quyền và nghĩa vụ của các bên trong hợp đồng dịch vụ thương mại[1]. Đồng thời, hoạt động gia công cơ khí của Công ty còn chịu sự điều chỉnh của các quy định về </w:t>
      </w:r>
      <w:r>
        <w:rPr>
          <w:rFonts w:ascii="Times New Roman" w:hAnsi="Times New Roman" w:eastAsia="Times New Roman"/>
          <w:b/>
          <w:i w:val="0"/>
          <w:sz w:val="26"/>
        </w:rPr>
        <w:t>gia công trong thương mại</w:t>
      </w:r>
      <w:r>
        <w:rPr>
          <w:rFonts w:ascii="Times New Roman" w:hAnsi="Times New Roman" w:eastAsia="Times New Roman"/>
          <w:b w:val="0"/>
          <w:i w:val="0"/>
          <w:sz w:val="26"/>
        </w:rPr>
        <w:t xml:space="preserve"> tại Chương VI (Điều 178 và các điều liên quan của Luật Thương mại năm 2005)[1][14].</w:t>
      </w:r>
    </w:p>
    <w:p>
      <w:pPr>
        <w:spacing w:after="60" w:before="160" w:line="276" w:lineRule="auto"/>
      </w:pPr>
      <w:r>
        <w:rPr>
          <w:rFonts w:ascii="Times New Roman" w:hAnsi="Times New Roman" w:eastAsia="Times New Roman"/>
          <w:b/>
          <w:i w:val="0"/>
          <w:sz w:val="26"/>
        </w:rPr>
        <w:t>2.3.2. Thực tiễn áp dụng</w:t>
      </w:r>
    </w:p>
    <w:p>
      <w:pPr>
        <w:spacing w:after="120" w:before="0" w:line="276" w:lineRule="auto"/>
        <w:ind w:firstLine="567"/>
        <w:jc w:val="both"/>
      </w:pPr>
      <w:r>
        <w:rPr>
          <w:rFonts w:ascii="Times New Roman" w:hAnsi="Times New Roman" w:eastAsia="Times New Roman"/>
          <w:b/>
          <w:i w:val="0"/>
          <w:sz w:val="26"/>
        </w:rPr>
        <w:t>a) Gia công cơ khí chính xác</w:t>
      </w:r>
    </w:p>
    <w:p>
      <w:pPr>
        <w:spacing w:after="120" w:before="0" w:line="276" w:lineRule="auto"/>
        <w:ind w:firstLine="567"/>
        <w:jc w:val="both"/>
      </w:pPr>
      <w:r>
        <w:rPr>
          <w:rFonts w:ascii="Times New Roman" w:hAnsi="Times New Roman" w:eastAsia="Times New Roman"/>
          <w:b w:val="0"/>
          <w:i w:val="0"/>
          <w:sz w:val="26"/>
        </w:rPr>
        <w:t>Trên thực tế, hợp đồng gia công của Công ty thường có các yếu tố:</w:t>
      </w:r>
    </w:p>
    <w:p>
      <w:pPr>
        <w:pStyle w:val="ListBullet"/>
        <w:spacing w:after="60" w:line="276" w:lineRule="auto"/>
        <w:jc w:val="both"/>
      </w:pPr>
      <w:r>
        <w:rPr>
          <w:rFonts w:ascii="Times New Roman" w:hAnsi="Times New Roman" w:eastAsia="Times New Roman"/>
          <w:b w:val="0"/>
          <w:i w:val="0"/>
          <w:sz w:val="26"/>
        </w:rPr>
        <w:t>Bên đặt gia công cung cấp (hoặc chỉ định) yêu cầu kỹ thuật, bản vẽ, định mức;</w:t>
      </w:r>
    </w:p>
    <w:p>
      <w:pPr>
        <w:pStyle w:val="ListBullet"/>
        <w:spacing w:after="60" w:line="276" w:lineRule="auto"/>
        <w:jc w:val="both"/>
      </w:pPr>
      <w:r>
        <w:rPr>
          <w:rFonts w:ascii="Times New Roman" w:hAnsi="Times New Roman" w:eastAsia="Times New Roman"/>
          <w:b w:val="0"/>
          <w:i w:val="0"/>
          <w:sz w:val="26"/>
        </w:rPr>
        <w:t>Bên nhận gia công sử dụng năng lực máy móc, nhân lực, quy trình để hoàn thành sản phẩm/bán thành phẩm và hưởng thù lao;</w:t>
      </w:r>
    </w:p>
    <w:p>
      <w:pPr>
        <w:pStyle w:val="ListBullet"/>
        <w:spacing w:after="60" w:line="276" w:lineRule="auto"/>
        <w:jc w:val="both"/>
      </w:pPr>
      <w:r>
        <w:rPr>
          <w:rFonts w:ascii="Times New Roman" w:hAnsi="Times New Roman" w:eastAsia="Times New Roman"/>
          <w:b w:val="0"/>
          <w:i w:val="0"/>
          <w:sz w:val="26"/>
        </w:rPr>
        <w:t>Điều khoản về bảo mật thông tin kỹ thuật, sở hữu trí tuệ, trách nhiệm đối với phế phẩm, thời hạn giao hàng, nghiệm thu.</w:t>
      </w:r>
    </w:p>
    <w:p>
      <w:pPr>
        <w:spacing w:after="120" w:before="0" w:line="276" w:lineRule="auto"/>
        <w:ind w:firstLine="567"/>
        <w:jc w:val="both"/>
      </w:pPr>
      <w:r>
        <w:rPr>
          <w:rFonts w:ascii="Times New Roman" w:hAnsi="Times New Roman" w:eastAsia="Times New Roman"/>
          <w:b w:val="0"/>
          <w:i w:val="0"/>
          <w:sz w:val="26"/>
        </w:rPr>
        <w:t>Về bản chất pháp lý, đây là hoạt động thương mại nhằm mục đích sinh lợi theo khoản 1 Điều 3 Luật Thương mại năm 2005[1]; tùy cấu trúc hợp đồng có thể được xác định là hợp đồng gia công thương mại (Điều 178 và các điều liên quan)[1][14] hoặc hợp đồng cung ứng dịch vụ theo Chương III[1], thậm chí kết hợp cung ứng vật tư (mua bán hàng hóa).</w:t>
      </w:r>
    </w:p>
    <w:p>
      <w:pPr>
        <w:spacing w:after="120" w:before="0" w:line="276" w:lineRule="auto"/>
        <w:ind w:firstLine="567"/>
        <w:jc w:val="both"/>
      </w:pPr>
      <w:r>
        <w:rPr>
          <w:rFonts w:ascii="Times New Roman" w:hAnsi="Times New Roman" w:eastAsia="Times New Roman"/>
          <w:b/>
          <w:i w:val="0"/>
          <w:sz w:val="26"/>
        </w:rPr>
        <w:t>b) Dịch vụ kỹ thuật gắn thiết bị PCCC</w:t>
      </w:r>
    </w:p>
    <w:p>
      <w:pPr>
        <w:spacing w:after="120" w:before="0" w:line="276" w:lineRule="auto"/>
        <w:ind w:firstLine="567"/>
        <w:jc w:val="both"/>
      </w:pPr>
      <w:r>
        <w:rPr>
          <w:rFonts w:ascii="Times New Roman" w:hAnsi="Times New Roman" w:eastAsia="Times New Roman"/>
          <w:b w:val="0"/>
          <w:i w:val="0"/>
          <w:sz w:val="26"/>
        </w:rPr>
        <w:t>Khi Công ty thực hiện lắp đặt, bảo trì, bảo dưỡng, hướng dẫn sử dụng thiết bị PCCC, phát sinh hợp đồng dịch vụ thương mại; đồng thời phải đáp ứng điều kiện hành nghề/chuyên môn theo pháp luật PCCC[12].</w:t>
      </w:r>
    </w:p>
    <w:p>
      <w:pPr>
        <w:spacing w:after="60" w:before="160" w:line="276" w:lineRule="auto"/>
      </w:pPr>
      <w:r>
        <w:rPr>
          <w:rFonts w:ascii="Times New Roman" w:hAnsi="Times New Roman" w:eastAsia="Times New Roman"/>
          <w:b/>
          <w:i w:val="0"/>
          <w:sz w:val="26"/>
        </w:rPr>
        <w:t>2.3.3. Kết quả và tác động</w:t>
      </w:r>
    </w:p>
    <w:p>
      <w:pPr>
        <w:pStyle w:val="ListBullet"/>
        <w:spacing w:after="60" w:line="276" w:lineRule="auto"/>
        <w:jc w:val="both"/>
      </w:pPr>
      <w:r>
        <w:rPr>
          <w:rFonts w:ascii="Times New Roman" w:hAnsi="Times New Roman" w:eastAsia="Times New Roman"/>
          <w:b w:val="0"/>
          <w:i w:val="0"/>
          <w:sz w:val="26"/>
        </w:rPr>
        <w:t>Tạo cơ sở pháp lý để Công ty tham gia chuỗi gia công cơ khí trong và ngoài nước.</w:t>
      </w:r>
    </w:p>
    <w:p>
      <w:pPr>
        <w:pStyle w:val="ListBullet"/>
        <w:spacing w:after="60" w:line="276" w:lineRule="auto"/>
        <w:jc w:val="both"/>
      </w:pPr>
      <w:r>
        <w:rPr>
          <w:rFonts w:ascii="Times New Roman" w:hAnsi="Times New Roman" w:eastAsia="Times New Roman"/>
          <w:b w:val="0"/>
          <w:i w:val="0"/>
          <w:sz w:val="26"/>
        </w:rPr>
        <w:t>Nâng cao giá trị gia tăng so với thuần túy bán sản phẩm.</w:t>
      </w:r>
    </w:p>
    <w:p>
      <w:pPr>
        <w:pStyle w:val="ListBullet"/>
        <w:spacing w:after="60" w:line="276" w:lineRule="auto"/>
        <w:jc w:val="both"/>
      </w:pPr>
      <w:r>
        <w:rPr>
          <w:rFonts w:ascii="Times New Roman" w:hAnsi="Times New Roman" w:eastAsia="Times New Roman"/>
          <w:b w:val="0"/>
          <w:i w:val="0"/>
          <w:sz w:val="26"/>
        </w:rPr>
        <w:t>Hỗ trợ duy trì việc làm kỹ thuật chất lượng cao: [Điền số liệu] lao động bình quân giai đoạn.</w:t>
      </w:r>
    </w:p>
    <w:p>
      <w:pPr>
        <w:spacing w:after="60" w:before="160" w:line="276" w:lineRule="auto"/>
      </w:pPr>
      <w:r>
        <w:rPr>
          <w:rFonts w:ascii="Times New Roman" w:hAnsi="Times New Roman" w:eastAsia="Times New Roman"/>
          <w:b/>
          <w:i w:val="0"/>
          <w:sz w:val="26"/>
        </w:rPr>
        <w:t>2.3.4. Tồn tại, hạn chế</w:t>
      </w:r>
    </w:p>
    <w:p>
      <w:pPr>
        <w:spacing w:after="60" w:before="0" w:line="276" w:lineRule="auto"/>
        <w:ind w:firstLine="283"/>
        <w:jc w:val="both"/>
      </w:pPr>
      <w:r>
        <w:rPr>
          <w:rFonts w:ascii="Times New Roman" w:hAnsi="Times New Roman" w:eastAsia="Times New Roman"/>
          <w:b w:val="0"/>
          <w:i w:val="0"/>
          <w:sz w:val="26"/>
        </w:rPr>
        <w:t xml:space="preserve">1. Ranh giới pháp lý giữa </w:t>
      </w:r>
      <w:r>
        <w:rPr>
          <w:rFonts w:ascii="Times New Roman" w:hAnsi="Times New Roman" w:eastAsia="Times New Roman"/>
          <w:b/>
          <w:i w:val="0"/>
          <w:sz w:val="26"/>
        </w:rPr>
        <w:t>cung ứng dịch vụ – gia công – mua bán hàng hóa</w:t>
      </w:r>
      <w:r>
        <w:rPr>
          <w:rFonts w:ascii="Times New Roman" w:hAnsi="Times New Roman" w:eastAsia="Times New Roman"/>
          <w:b w:val="0"/>
          <w:i w:val="0"/>
          <w:sz w:val="26"/>
        </w:rPr>
        <w:t xml:space="preserve"> chưa thật sự rõ khi hợp đồng hỗn hợp (gia công kèm cung ứng vật tư và xuất khẩu thành phẩm).</w:t>
      </w:r>
    </w:p>
    <w:p>
      <w:pPr>
        <w:spacing w:after="60" w:before="0" w:line="276" w:lineRule="auto"/>
        <w:ind w:firstLine="283"/>
        <w:jc w:val="both"/>
      </w:pPr>
      <w:r>
        <w:rPr>
          <w:rFonts w:ascii="Times New Roman" w:hAnsi="Times New Roman" w:eastAsia="Times New Roman"/>
          <w:b w:val="0"/>
          <w:i w:val="0"/>
          <w:sz w:val="26"/>
        </w:rPr>
        <w:t xml:space="preserve">2. Quy định chưa đủ chi tiết cho dịch vụ gia công có yếu tố </w:t>
      </w:r>
      <w:r>
        <w:rPr>
          <w:rFonts w:ascii="Times New Roman" w:hAnsi="Times New Roman" w:eastAsia="Times New Roman"/>
          <w:b/>
          <w:i w:val="0"/>
          <w:sz w:val="26"/>
        </w:rPr>
        <w:t>công nghệ lưỡng dụng/quốc phòng</w:t>
      </w:r>
      <w:r>
        <w:rPr>
          <w:rFonts w:ascii="Times New Roman" w:hAnsi="Times New Roman" w:eastAsia="Times New Roman"/>
          <w:b w:val="0"/>
          <w:i w:val="0"/>
          <w:sz w:val="26"/>
        </w:rPr>
        <w:t>, dẫn tới doanh nghiệp phải tự thiết kế điều khoản bảo mật và quy trình kiểm soát nội bộ.</w:t>
      </w:r>
    </w:p>
    <w:p>
      <w:pPr>
        <w:spacing w:after="60" w:before="0" w:line="276" w:lineRule="auto"/>
        <w:ind w:firstLine="283"/>
        <w:jc w:val="both"/>
      </w:pPr>
      <w:r>
        <w:rPr>
          <w:rFonts w:ascii="Times New Roman" w:hAnsi="Times New Roman" w:eastAsia="Times New Roman"/>
          <w:b w:val="0"/>
          <w:i w:val="0"/>
          <w:sz w:val="26"/>
        </w:rPr>
        <w:t>3. Tranh chấp về nghiệm thu kỹ thuật, sai lệch dung sai, chậm tiến độ thường phải viện dẫn đồng thời Luật Thương mại và Bộ luật Dân sự[1][6], làm tăng chi phí tư vấn pháp lý.</w:t>
      </w:r>
    </w:p>
    <w:p>
      <w:pPr>
        <w:spacing w:after="80" w:before="200" w:line="276" w:lineRule="auto"/>
      </w:pPr>
      <w:r>
        <w:rPr>
          <w:rFonts w:ascii="Times New Roman" w:hAnsi="Times New Roman" w:eastAsia="Times New Roman"/>
          <w:b/>
          <w:i w:val="0"/>
          <w:sz w:val="26"/>
        </w:rPr>
        <w:t>II.4. Chương IV – Xúc tiến thương mại</w:t>
      </w:r>
    </w:p>
    <w:p>
      <w:pPr>
        <w:spacing w:after="120" w:before="0" w:line="276" w:lineRule="auto"/>
        <w:ind w:firstLine="567"/>
        <w:jc w:val="both"/>
      </w:pPr>
      <w:r>
        <w:rPr>
          <w:rFonts w:ascii="Times New Roman" w:hAnsi="Times New Roman" w:eastAsia="Times New Roman"/>
          <w:b w:val="0"/>
          <w:i w:val="0"/>
          <w:sz w:val="26"/>
        </w:rPr>
        <w:t>*(Trọng tâm theo Phụ lục II – Bộ Quốc phòng được phân công)*</w:t>
      </w:r>
    </w:p>
    <w:p>
      <w:pPr>
        <w:spacing w:after="60" w:before="160" w:line="276" w:lineRule="auto"/>
      </w:pPr>
      <w:r>
        <w:rPr>
          <w:rFonts w:ascii="Times New Roman" w:hAnsi="Times New Roman" w:eastAsia="Times New Roman"/>
          <w:b/>
          <w:i w:val="0"/>
          <w:sz w:val="26"/>
        </w:rPr>
        <w:t>2.4.1. Quy định liên quan</w:t>
      </w:r>
    </w:p>
    <w:p>
      <w:pPr>
        <w:pStyle w:val="ListBullet"/>
        <w:spacing w:after="60" w:line="276" w:lineRule="auto"/>
        <w:jc w:val="both"/>
      </w:pPr>
      <w:r>
        <w:rPr>
          <w:rFonts w:ascii="Times New Roman" w:hAnsi="Times New Roman" w:eastAsia="Times New Roman"/>
          <w:b w:val="0"/>
          <w:i w:val="0"/>
          <w:sz w:val="26"/>
        </w:rPr>
        <w:t>Chương IV Luật Thương mại năm 2005 về xúc tiến thương mại (khuyến mại, quảng cáo thương mại, trưng bày – giới thiệu hàng hóa/dịch vụ, hội chợ – triển lãm thương mại)[1].</w:t>
      </w:r>
    </w:p>
    <w:p>
      <w:pPr>
        <w:pStyle w:val="ListBullet"/>
        <w:spacing w:after="60" w:line="276" w:lineRule="auto"/>
        <w:jc w:val="both"/>
      </w:pPr>
      <w:r>
        <w:rPr>
          <w:rFonts w:ascii="Times New Roman" w:hAnsi="Times New Roman" w:eastAsia="Times New Roman"/>
          <w:b w:val="0"/>
          <w:i w:val="0"/>
          <w:sz w:val="26"/>
        </w:rPr>
        <w:t>Nghị định số 37/2006/NĐ-CP ngày 15 tháng 4 năm 2006 quy định chi tiết Luật Thương mại về hoạt động xúc tiến thương mại[4].</w:t>
      </w:r>
    </w:p>
    <w:p>
      <w:pPr>
        <w:pStyle w:val="ListBullet"/>
        <w:spacing w:after="60" w:line="276" w:lineRule="auto"/>
        <w:jc w:val="both"/>
      </w:pPr>
      <w:r>
        <w:rPr>
          <w:rFonts w:ascii="Times New Roman" w:hAnsi="Times New Roman" w:eastAsia="Times New Roman"/>
          <w:b w:val="0"/>
          <w:i w:val="0"/>
          <w:sz w:val="26"/>
        </w:rPr>
        <w:t>Nghị định số 81/2018/NĐ-CP ngày 22 tháng 5 năm 2018 quy định chi tiết Luật Thương mại về hoạt động khuyến mại[5].</w:t>
      </w:r>
    </w:p>
    <w:p>
      <w:pPr>
        <w:pStyle w:val="ListBullet"/>
        <w:spacing w:after="60" w:line="276" w:lineRule="auto"/>
        <w:jc w:val="both"/>
      </w:pPr>
      <w:r>
        <w:rPr>
          <w:rFonts w:ascii="Times New Roman" w:hAnsi="Times New Roman" w:eastAsia="Times New Roman"/>
          <w:b w:val="0"/>
          <w:i w:val="0"/>
          <w:sz w:val="26"/>
        </w:rPr>
        <w:t>Pháp luật chuyên ngành về quảng cáo và quản lý thông tin khi sản phẩm gắn yếu tố kỹ thuật PCCC/quốc phòng.</w:t>
      </w:r>
    </w:p>
    <w:p>
      <w:pPr>
        <w:spacing w:after="60" w:before="160" w:line="276" w:lineRule="auto"/>
      </w:pPr>
      <w:r>
        <w:rPr>
          <w:rFonts w:ascii="Times New Roman" w:hAnsi="Times New Roman" w:eastAsia="Times New Roman"/>
          <w:b/>
          <w:i w:val="0"/>
          <w:sz w:val="26"/>
        </w:rPr>
        <w:t>2.4.2. Thực tiễn áp dụng tại Công ty</w:t>
      </w:r>
    </w:p>
    <w:p>
      <w:pPr>
        <w:pStyle w:val="ListBullet"/>
        <w:spacing w:after="60" w:line="276" w:lineRule="auto"/>
        <w:jc w:val="both"/>
      </w:pPr>
      <w:r>
        <w:rPr>
          <w:rFonts w:ascii="Times New Roman" w:hAnsi="Times New Roman" w:eastAsia="Times New Roman"/>
          <w:b w:val="0"/>
          <w:i w:val="0"/>
          <w:sz w:val="26"/>
        </w:rPr>
        <w:t>Tham gia hội chợ, triển lãm chuyên ngành cơ khí, PCCC, hàng xuất khẩu (trong nước/quốc tế) theo khả năng được cấp có thẩm quyền cho phép.</w:t>
      </w:r>
    </w:p>
    <w:p>
      <w:pPr>
        <w:pStyle w:val="ListBullet"/>
        <w:spacing w:after="60" w:line="276" w:lineRule="auto"/>
        <w:jc w:val="both"/>
      </w:pPr>
      <w:r>
        <w:rPr>
          <w:rFonts w:ascii="Times New Roman" w:hAnsi="Times New Roman" w:eastAsia="Times New Roman"/>
          <w:b w:val="0"/>
          <w:i w:val="0"/>
          <w:sz w:val="26"/>
        </w:rPr>
        <w:t>Quảng bá sản phẩm hộp sắt đa năng và thiết bị PCCC trên các kênh phù hợp quy chế doanh nghiệp quốc phòng.</w:t>
      </w:r>
    </w:p>
    <w:p>
      <w:pPr>
        <w:pStyle w:val="ListBullet"/>
        <w:spacing w:after="60" w:line="276" w:lineRule="auto"/>
        <w:jc w:val="both"/>
      </w:pPr>
      <w:r>
        <w:rPr>
          <w:rFonts w:ascii="Times New Roman" w:hAnsi="Times New Roman" w:eastAsia="Times New Roman"/>
          <w:b w:val="0"/>
          <w:i w:val="0"/>
          <w:sz w:val="26"/>
        </w:rPr>
        <w:t>Tiếp cận thông tin về chương trình/quỹ xúc tiến xuất khẩu ngành hàng (mức độ thụ hưởng thực tế: [Điền: có/không; tên chương trình]).</w:t>
      </w:r>
    </w:p>
    <w:p>
      <w:pPr>
        <w:spacing w:after="60" w:before="160" w:line="276" w:lineRule="auto"/>
      </w:pPr>
      <w:r>
        <w:rPr>
          <w:rFonts w:ascii="Times New Roman" w:hAnsi="Times New Roman" w:eastAsia="Times New Roman"/>
          <w:b/>
          <w:i w:val="0"/>
          <w:sz w:val="26"/>
        </w:rPr>
        <w:t>2.4.3. Kết quả và tác động</w:t>
      </w:r>
    </w:p>
    <w:p>
      <w:pPr>
        <w:spacing w:after="120" w:before="0" w:line="276" w:lineRule="auto"/>
        <w:ind w:firstLine="567"/>
        <w:jc w:val="both"/>
      </w:pPr>
      <w:r>
        <w:rPr>
          <w:rFonts w:ascii="Times New Roman" w:hAnsi="Times New Roman" w:eastAsia="Times New Roman"/>
          <w:b w:val="0"/>
          <w:i w:val="0"/>
          <w:sz w:val="26"/>
        </w:rPr>
        <w:t>Xúc tiến thương mại góp phần mở rộng mạng lưới khách hàng, hỗ trợ xuất khẩu và tiêu thụ sản phẩm dân sinh. Tuy nhiên, do đặc thù doanh nghiệp quốc phòng, phạm vi hình thức khuyến mại – quảng cáo – trưng bày bị ràng buộc chặt hơn doanh nghiệp dân sự thông thường.</w:t>
      </w:r>
    </w:p>
    <w:p>
      <w:pPr>
        <w:spacing w:after="60" w:before="160" w:line="276" w:lineRule="auto"/>
      </w:pPr>
      <w:r>
        <w:rPr>
          <w:rFonts w:ascii="Times New Roman" w:hAnsi="Times New Roman" w:eastAsia="Times New Roman"/>
          <w:b/>
          <w:i w:val="0"/>
          <w:sz w:val="26"/>
        </w:rPr>
        <w:t>2.4.4. Tồn tại, hạn chế (bám gợi ý Phụ lục II)</w:t>
      </w:r>
    </w:p>
    <w:p>
      <w:pPr>
        <w:spacing w:after="60" w:before="0" w:line="276" w:lineRule="auto"/>
        <w:ind w:firstLine="283"/>
        <w:jc w:val="both"/>
      </w:pPr>
      <w:r>
        <w:rPr>
          <w:rFonts w:ascii="Times New Roman" w:hAnsi="Times New Roman" w:eastAsia="Times New Roman"/>
          <w:b w:val="0"/>
          <w:i w:val="0"/>
          <w:sz w:val="26"/>
        </w:rPr>
        <w:t>1. Phân định giữa xúc tiến thương mại theo Luật Thương mại với xúc tiến đầu tư, xúc tiến du lịch, quảng cáo nói chung còn chồng chéo về đầu mối quản lý.</w:t>
      </w:r>
    </w:p>
    <w:p>
      <w:pPr>
        <w:spacing w:after="60" w:before="0" w:line="276" w:lineRule="auto"/>
        <w:ind w:firstLine="283"/>
        <w:jc w:val="both"/>
      </w:pPr>
      <w:r>
        <w:rPr>
          <w:rFonts w:ascii="Times New Roman" w:hAnsi="Times New Roman" w:eastAsia="Times New Roman"/>
          <w:b w:val="0"/>
          <w:i w:val="0"/>
          <w:sz w:val="26"/>
        </w:rPr>
        <w:t>2. Cơ chế quỹ xúc tiến xuất khẩu ngành hàng chưa thật sự dễ tiếp cận với doanh nghiệp công nghiệp quốc phòng làm hàng xuất khẩu dân sự.</w:t>
      </w:r>
    </w:p>
    <w:p>
      <w:pPr>
        <w:spacing w:after="60" w:before="0" w:line="276" w:lineRule="auto"/>
        <w:ind w:firstLine="283"/>
        <w:jc w:val="both"/>
      </w:pPr>
      <w:r>
        <w:rPr>
          <w:rFonts w:ascii="Times New Roman" w:hAnsi="Times New Roman" w:eastAsia="Times New Roman"/>
          <w:b w:val="0"/>
          <w:i w:val="0"/>
          <w:sz w:val="26"/>
        </w:rPr>
        <w:t>3. Việc thành lập/tham gia tổ chức đại diện và bảo vệ quyền lợi doanh nghiệp Việt Nam ở nước ngoài còn là nhu cầu thực tiễn đối với xuất khẩu, nhưng thiếu hành lang cụ thể để doanh nghiệp quy mô vừa tận dụng hiệu quả.</w:t>
      </w:r>
    </w:p>
    <w:p>
      <w:pPr>
        <w:spacing w:after="60" w:before="0" w:line="276" w:lineRule="auto"/>
        <w:ind w:firstLine="283"/>
        <w:jc w:val="both"/>
      </w:pPr>
      <w:r>
        <w:rPr>
          <w:rFonts w:ascii="Times New Roman" w:hAnsi="Times New Roman" w:eastAsia="Times New Roman"/>
          <w:b w:val="0"/>
          <w:i w:val="0"/>
          <w:sz w:val="26"/>
        </w:rPr>
        <w:t>4. Nếu thiết kế lại hệ thống pháp luật, cần xác định luật chuyên ngành nào điều chỉnh từng dạng xúc tiến, tránh khoảng trống sau khi rà soát hiệu lực Luật Thương mại.</w:t>
      </w:r>
    </w:p>
    <w:p>
      <w:pPr>
        <w:spacing w:after="80" w:before="200" w:line="276" w:lineRule="auto"/>
      </w:pPr>
      <w:r>
        <w:rPr>
          <w:rFonts w:ascii="Times New Roman" w:hAnsi="Times New Roman" w:eastAsia="Times New Roman"/>
          <w:b/>
          <w:i w:val="0"/>
          <w:sz w:val="26"/>
        </w:rPr>
        <w:t>II.5. Chương V – Các hoạt động trung gian thương mại</w:t>
      </w:r>
    </w:p>
    <w:p>
      <w:pPr>
        <w:spacing w:after="60" w:before="160" w:line="276" w:lineRule="auto"/>
      </w:pPr>
      <w:r>
        <w:rPr>
          <w:rFonts w:ascii="Times New Roman" w:hAnsi="Times New Roman" w:eastAsia="Times New Roman"/>
          <w:b/>
          <w:i w:val="0"/>
          <w:sz w:val="26"/>
        </w:rPr>
        <w:t>2.5.1. Quy định liên quan</w:t>
      </w:r>
    </w:p>
    <w:p>
      <w:pPr>
        <w:spacing w:after="120" w:before="0" w:line="276" w:lineRule="auto"/>
        <w:ind w:firstLine="567"/>
        <w:jc w:val="both"/>
      </w:pPr>
      <w:r>
        <w:rPr>
          <w:rFonts w:ascii="Times New Roman" w:hAnsi="Times New Roman" w:eastAsia="Times New Roman"/>
          <w:b w:val="0"/>
          <w:i w:val="0"/>
          <w:sz w:val="26"/>
        </w:rPr>
        <w:t>Chương V Luật Thương mại năm 2005 điều chỉnh đại diện cho thương nhân, môi giới thương mại, ủy thác mua bán hàng hóa, đại lý thương mại và các hình thức trung gian liên quan[1].</w:t>
      </w:r>
    </w:p>
    <w:p>
      <w:pPr>
        <w:spacing w:after="60" w:before="160" w:line="276" w:lineRule="auto"/>
      </w:pPr>
      <w:r>
        <w:rPr>
          <w:rFonts w:ascii="Times New Roman" w:hAnsi="Times New Roman" w:eastAsia="Times New Roman"/>
          <w:b/>
          <w:i w:val="0"/>
          <w:sz w:val="26"/>
        </w:rPr>
        <w:t>2.5.2. Thực tiễn áp dụng</w:t>
      </w:r>
    </w:p>
    <w:p>
      <w:pPr>
        <w:spacing w:after="120" w:before="0" w:line="276" w:lineRule="auto"/>
        <w:ind w:firstLine="567"/>
        <w:jc w:val="both"/>
      </w:pPr>
      <w:r>
        <w:rPr>
          <w:rFonts w:ascii="Times New Roman" w:hAnsi="Times New Roman" w:eastAsia="Times New Roman"/>
          <w:b w:val="0"/>
          <w:i w:val="0"/>
          <w:sz w:val="26"/>
        </w:rPr>
        <w:t>Đối với kinh doanh thiết bị PCCC và xuất khẩu hộp sắt đa năng, Công ty có thể phát sinh quan hệ với nhà phân phối, đại lý hoặc bên môi giới tìm khách hàng nước ngoài ([Điền: thực tế có/không sử dụng đại lý, môi giới]). Khi đó, quyền và nghĩa vụ các bên cần được xác lập rõ theo Chương V[1] và thỏa thuận hợp đồng, đặc biệt về thù lao, phạm vi đại diện, trách nhiệm bảo mật và không cạnh tranh trái pháp luật.</w:t>
      </w:r>
    </w:p>
    <w:p>
      <w:pPr>
        <w:spacing w:after="60" w:before="160" w:line="276" w:lineRule="auto"/>
      </w:pPr>
      <w:r>
        <w:rPr>
          <w:rFonts w:ascii="Times New Roman" w:hAnsi="Times New Roman" w:eastAsia="Times New Roman"/>
          <w:b/>
          <w:i w:val="0"/>
          <w:sz w:val="26"/>
        </w:rPr>
        <w:t>2.5.3. Đánh giá</w:t>
      </w:r>
    </w:p>
    <w:p>
      <w:pPr>
        <w:spacing w:after="120" w:before="0" w:line="276" w:lineRule="auto"/>
        <w:ind w:firstLine="567"/>
        <w:jc w:val="both"/>
      </w:pPr>
      <w:r>
        <w:rPr>
          <w:rFonts w:ascii="Times New Roman" w:hAnsi="Times New Roman" w:eastAsia="Times New Roman"/>
          <w:b w:val="0"/>
          <w:i w:val="0"/>
          <w:sz w:val="26"/>
        </w:rPr>
        <w:t>Quy định về trung gian thương mại về cơ bản còn giá trị thực tiễn với hệ thống phân phối PCCC. Tuy nhiên, pháp luật chưa gắn kết đầy đủ với mô hình chuỗi phân phối hiện đại (kênh online – offline, đại lý đa cấp độ xuyên biên giới), đúng như trọng tâm gợi ý tại Phụ lục II về hệ thống phân phối và điều kiện kinh doanh liên quan.</w:t>
      </w:r>
    </w:p>
    <w:p>
      <w:pPr>
        <w:spacing w:after="80" w:before="200" w:line="276" w:lineRule="auto"/>
      </w:pPr>
      <w:r>
        <w:rPr>
          <w:rFonts w:ascii="Times New Roman" w:hAnsi="Times New Roman" w:eastAsia="Times New Roman"/>
          <w:b/>
          <w:i w:val="0"/>
          <w:sz w:val="26"/>
        </w:rPr>
        <w:t>II.6. Chương VI – Một số hoạt động thương mại cụ thể khác</w:t>
      </w:r>
    </w:p>
    <w:p>
      <w:pPr>
        <w:spacing w:after="60" w:before="160" w:line="276" w:lineRule="auto"/>
      </w:pPr>
      <w:r>
        <w:rPr>
          <w:rFonts w:ascii="Times New Roman" w:hAnsi="Times New Roman" w:eastAsia="Times New Roman"/>
          <w:b/>
          <w:i w:val="0"/>
          <w:sz w:val="26"/>
        </w:rPr>
        <w:t>2.6.1. Gia công trong thương mại</w:t>
      </w:r>
    </w:p>
    <w:p>
      <w:pPr>
        <w:spacing w:after="120" w:before="0" w:line="276" w:lineRule="auto"/>
        <w:ind w:firstLine="567"/>
        <w:jc w:val="both"/>
      </w:pPr>
      <w:r>
        <w:rPr>
          <w:rFonts w:ascii="Times New Roman" w:hAnsi="Times New Roman" w:eastAsia="Times New Roman"/>
          <w:b w:val="0"/>
          <w:i w:val="0"/>
          <w:sz w:val="26"/>
        </w:rPr>
        <w:t>Điều 178 Luật Thương mại năm 2005 và các điều khoản liên quan về gia công là căn cứ pháp lý quan trọng đối với hoạt động gia công cơ khí chính xác của Công ty[1][14]. Thực tiễn cho thấy chế định này vẫn phù hợp bản chất quan hệ “đặt gia công – nhận gia công – hưởng thù lao”, nhưng cần bổ sung chuẩn mực về:</w:t>
      </w:r>
    </w:p>
    <w:p>
      <w:pPr>
        <w:pStyle w:val="ListBullet"/>
        <w:spacing w:after="60" w:line="276" w:lineRule="auto"/>
        <w:jc w:val="both"/>
      </w:pPr>
      <w:r>
        <w:rPr>
          <w:rFonts w:ascii="Times New Roman" w:hAnsi="Times New Roman" w:eastAsia="Times New Roman"/>
          <w:b w:val="0"/>
          <w:i w:val="0"/>
          <w:sz w:val="26"/>
        </w:rPr>
        <w:t>Sở hữu nguyên liệu, phế liệu, sản phẩm dở dang;</w:t>
      </w:r>
    </w:p>
    <w:p>
      <w:pPr>
        <w:pStyle w:val="ListBullet"/>
        <w:spacing w:after="60" w:line="276" w:lineRule="auto"/>
        <w:jc w:val="both"/>
      </w:pPr>
      <w:r>
        <w:rPr>
          <w:rFonts w:ascii="Times New Roman" w:hAnsi="Times New Roman" w:eastAsia="Times New Roman"/>
          <w:b w:val="0"/>
          <w:i w:val="0"/>
          <w:sz w:val="26"/>
        </w:rPr>
        <w:t>Trách nhiệm bảo mật và sở hữu trí tuệ;</w:t>
      </w:r>
    </w:p>
    <w:p>
      <w:pPr>
        <w:pStyle w:val="ListBullet"/>
        <w:spacing w:after="60" w:line="276" w:lineRule="auto"/>
        <w:jc w:val="both"/>
      </w:pPr>
      <w:r>
        <w:rPr>
          <w:rFonts w:ascii="Times New Roman" w:hAnsi="Times New Roman" w:eastAsia="Times New Roman"/>
          <w:b w:val="0"/>
          <w:i w:val="0"/>
          <w:sz w:val="26"/>
        </w:rPr>
        <w:t>Gia công cho thương nhân nước ngoài và gắn với xuất khẩu sản phẩm.</w:t>
      </w:r>
    </w:p>
    <w:p>
      <w:pPr>
        <w:spacing w:after="60" w:before="160" w:line="276" w:lineRule="auto"/>
      </w:pPr>
      <w:r>
        <w:rPr>
          <w:rFonts w:ascii="Times New Roman" w:hAnsi="Times New Roman" w:eastAsia="Times New Roman"/>
          <w:b/>
          <w:i w:val="0"/>
          <w:sz w:val="26"/>
        </w:rPr>
        <w:t>2.6.2. Dịch vụ logistics</w:t>
      </w:r>
    </w:p>
    <w:p>
      <w:pPr>
        <w:spacing w:after="120" w:before="0" w:line="276" w:lineRule="auto"/>
        <w:ind w:firstLine="567"/>
        <w:jc w:val="both"/>
      </w:pPr>
      <w:r>
        <w:rPr>
          <w:rFonts w:ascii="Times New Roman" w:hAnsi="Times New Roman" w:eastAsia="Times New Roman"/>
          <w:b w:val="0"/>
          <w:i w:val="0"/>
          <w:sz w:val="26"/>
        </w:rPr>
        <w:t>Điều 233 và các quy định liên quan về dịch vụ logistics tại Luật Thương mại năm 2005[1][15] là cơ sở pháp lý nền cho thuê vận tải, giao nhận, kho bãi phục vụ xuất khẩu hộp sắt đa năng. Phụ lục II yêu cầu nghiên cứu sửa đổi, bổ sung quy định về logistics và vận tải, hoàn thiện quy định phân phối gắn Quyết định số 531/QĐ-TTg[16]. Thực tiễn xuất khẩu của Công ty cho thấy chi phí logistics và chất lượng dịch vụ chuỗi cung ứng ảnh hưởng trực tiếp năng lực cạnh tranh.</w:t>
      </w:r>
    </w:p>
    <w:p>
      <w:pPr>
        <w:spacing w:after="60" w:before="160" w:line="276" w:lineRule="auto"/>
      </w:pPr>
      <w:r>
        <w:rPr>
          <w:rFonts w:ascii="Times New Roman" w:hAnsi="Times New Roman" w:eastAsia="Times New Roman"/>
          <w:b/>
          <w:i w:val="0"/>
          <w:sz w:val="26"/>
        </w:rPr>
        <w:t>2.6.3. Các hoạt động khác</w:t>
      </w:r>
    </w:p>
    <w:p>
      <w:pPr>
        <w:spacing w:after="120" w:before="0" w:line="276" w:lineRule="auto"/>
        <w:ind w:firstLine="567"/>
        <w:jc w:val="both"/>
      </w:pPr>
      <w:r>
        <w:rPr>
          <w:rFonts w:ascii="Times New Roman" w:hAnsi="Times New Roman" w:eastAsia="Times New Roman"/>
          <w:b w:val="0"/>
          <w:i w:val="0"/>
          <w:sz w:val="26"/>
        </w:rPr>
        <w:t>Các chế định đấu giá, đặt hàng, nhượng quyền thương mại… ít phát sinh trực tiếp trong mô hình hoạt động hiện tại của Công ty; mức độ liên quan thấp hơn gia công và logistics.</w:t>
      </w:r>
    </w:p>
    <w:p>
      <w:pPr>
        <w:spacing w:after="80" w:before="200" w:line="276" w:lineRule="auto"/>
      </w:pPr>
      <w:r>
        <w:rPr>
          <w:rFonts w:ascii="Times New Roman" w:hAnsi="Times New Roman" w:eastAsia="Times New Roman"/>
          <w:b/>
          <w:i w:val="0"/>
          <w:sz w:val="26"/>
        </w:rPr>
        <w:t>II.7. Chương VII – Chế tài trong thương mại và giải quyết tranh chấp</w:t>
      </w:r>
    </w:p>
    <w:p>
      <w:pPr>
        <w:spacing w:after="60" w:before="160" w:line="276" w:lineRule="auto"/>
      </w:pPr>
      <w:r>
        <w:rPr>
          <w:rFonts w:ascii="Times New Roman" w:hAnsi="Times New Roman" w:eastAsia="Times New Roman"/>
          <w:b/>
          <w:i w:val="0"/>
          <w:sz w:val="26"/>
        </w:rPr>
        <w:t>2.7.1. Quy định liên quan</w:t>
      </w:r>
    </w:p>
    <w:p>
      <w:pPr>
        <w:pStyle w:val="ListBullet"/>
        <w:spacing w:after="60" w:line="276" w:lineRule="auto"/>
        <w:jc w:val="both"/>
      </w:pPr>
      <w:r>
        <w:rPr>
          <w:rFonts w:ascii="Times New Roman" w:hAnsi="Times New Roman" w:eastAsia="Times New Roman"/>
          <w:b w:val="0"/>
          <w:i w:val="0"/>
          <w:sz w:val="26"/>
        </w:rPr>
        <w:t>Các loại chế tài trong thương mại được quy định tại Điều 292 Luật Thương mại năm 2005 (buộc thực hiện đúng hợp đồng; phạt vi phạm; bồi thường thiệt hại; tạm ngừng thực hiện hợp đồng; đình chỉ thực hiện hợp đồng; hủy bỏ hợp đồng; biện pháp khác do các bên thỏa thuận)[1][17].</w:t>
      </w:r>
    </w:p>
    <w:p>
      <w:pPr>
        <w:pStyle w:val="ListBullet"/>
        <w:spacing w:after="60" w:line="276" w:lineRule="auto"/>
        <w:jc w:val="both"/>
      </w:pPr>
      <w:r>
        <w:rPr>
          <w:rFonts w:ascii="Times New Roman" w:hAnsi="Times New Roman" w:eastAsia="Times New Roman"/>
          <w:b w:val="0"/>
          <w:i w:val="0"/>
          <w:sz w:val="26"/>
        </w:rPr>
        <w:t>Phạt vi phạm: Điều 300 Luật Thương mại năm 2005[1][17].</w:t>
      </w:r>
    </w:p>
    <w:p>
      <w:pPr>
        <w:pStyle w:val="ListBullet"/>
        <w:spacing w:after="60" w:line="276" w:lineRule="auto"/>
        <w:jc w:val="both"/>
      </w:pPr>
      <w:r>
        <w:rPr>
          <w:rFonts w:ascii="Times New Roman" w:hAnsi="Times New Roman" w:eastAsia="Times New Roman"/>
          <w:b w:val="0"/>
          <w:i w:val="0"/>
          <w:sz w:val="26"/>
        </w:rPr>
        <w:t>Bồi thường thiệt hại: Điều 302 và các điều liên quan Luật Thương mại năm 2005[1][17].</w:t>
      </w:r>
    </w:p>
    <w:p>
      <w:pPr>
        <w:pStyle w:val="ListBullet"/>
        <w:spacing w:after="60" w:line="276" w:lineRule="auto"/>
        <w:jc w:val="both"/>
      </w:pPr>
      <w:r>
        <w:rPr>
          <w:rFonts w:ascii="Times New Roman" w:hAnsi="Times New Roman" w:eastAsia="Times New Roman"/>
          <w:b w:val="0"/>
          <w:i w:val="0"/>
          <w:sz w:val="26"/>
        </w:rPr>
        <w:t>Giải quyết tranh chấp bằng thương lượng, hòa giải, trọng tài hoặc tòa án theo quy định của Chương VII và pháp luật tố tụng/trọng tài có liên quan[1][18].</w:t>
      </w:r>
    </w:p>
    <w:p>
      <w:pPr>
        <w:spacing w:after="60" w:before="160" w:line="276" w:lineRule="auto"/>
      </w:pPr>
      <w:r>
        <w:rPr>
          <w:rFonts w:ascii="Times New Roman" w:hAnsi="Times New Roman" w:eastAsia="Times New Roman"/>
          <w:b/>
          <w:i w:val="0"/>
          <w:sz w:val="26"/>
        </w:rPr>
        <w:t>2.7.2. Thực tiễn tại Công ty</w:t>
      </w:r>
    </w:p>
    <w:p>
      <w:pPr>
        <w:spacing w:after="120" w:before="0" w:line="276" w:lineRule="auto"/>
        <w:ind w:firstLine="567"/>
        <w:jc w:val="both"/>
      </w:pPr>
      <w:r>
        <w:rPr>
          <w:rFonts w:ascii="Times New Roman" w:hAnsi="Times New Roman" w:eastAsia="Times New Roman"/>
          <w:b w:val="0"/>
          <w:i w:val="0"/>
          <w:sz w:val="26"/>
        </w:rPr>
        <w:t>Các rủi ro/tranh chấp thường gặp trong hoạt động của doanh nghiệp cùng loại hình gồm:</w:t>
      </w:r>
    </w:p>
    <w:p>
      <w:pPr>
        <w:spacing w:after="60" w:before="0" w:line="276" w:lineRule="auto"/>
        <w:ind w:firstLine="283"/>
        <w:jc w:val="both"/>
      </w:pPr>
      <w:r>
        <w:rPr>
          <w:rFonts w:ascii="Times New Roman" w:hAnsi="Times New Roman" w:eastAsia="Times New Roman"/>
          <w:b w:val="0"/>
          <w:i w:val="0"/>
          <w:sz w:val="26"/>
        </w:rPr>
        <w:t>1. Chậm thanh toán công nợ hợp đồng gia công hoặc mua bán;</w:t>
      </w:r>
    </w:p>
    <w:p>
      <w:pPr>
        <w:spacing w:after="60" w:before="0" w:line="276" w:lineRule="auto"/>
        <w:ind w:firstLine="283"/>
        <w:jc w:val="both"/>
      </w:pPr>
      <w:r>
        <w:rPr>
          <w:rFonts w:ascii="Times New Roman" w:hAnsi="Times New Roman" w:eastAsia="Times New Roman"/>
          <w:b w:val="0"/>
          <w:i w:val="0"/>
          <w:sz w:val="26"/>
        </w:rPr>
        <w:t>2. Chậm giao hàng/giao không đúng quy cách kỹ thuật;</w:t>
      </w:r>
    </w:p>
    <w:p>
      <w:pPr>
        <w:spacing w:after="60" w:before="0" w:line="276" w:lineRule="auto"/>
        <w:ind w:firstLine="283"/>
        <w:jc w:val="both"/>
      </w:pPr>
      <w:r>
        <w:rPr>
          <w:rFonts w:ascii="Times New Roman" w:hAnsi="Times New Roman" w:eastAsia="Times New Roman"/>
          <w:b w:val="0"/>
          <w:i w:val="0"/>
          <w:sz w:val="26"/>
        </w:rPr>
        <w:t>3. Khiếu nại chất lượng thiết bị PCCC hoặc sản phẩm gia công;</w:t>
      </w:r>
    </w:p>
    <w:p>
      <w:pPr>
        <w:spacing w:after="60" w:before="0" w:line="276" w:lineRule="auto"/>
        <w:ind w:firstLine="283"/>
        <w:jc w:val="both"/>
      </w:pPr>
      <w:r>
        <w:rPr>
          <w:rFonts w:ascii="Times New Roman" w:hAnsi="Times New Roman" w:eastAsia="Times New Roman"/>
          <w:b w:val="0"/>
          <w:i w:val="0"/>
          <w:sz w:val="26"/>
        </w:rPr>
        <w:t>4. Tranh chấp hợp đồng xuất khẩu (chứng từ, chất lượng, bất khả kháng, luật áp dụng).</w:t>
      </w:r>
    </w:p>
    <w:p>
      <w:pPr>
        <w:spacing w:after="120" w:before="0" w:line="276" w:lineRule="auto"/>
        <w:ind w:firstLine="567"/>
        <w:jc w:val="both"/>
      </w:pPr>
      <w:r>
        <w:rPr>
          <w:rFonts w:ascii="Times New Roman" w:hAnsi="Times New Roman" w:eastAsia="Times New Roman"/>
          <w:b w:val="0"/>
          <w:i w:val="0"/>
          <w:sz w:val="26"/>
        </w:rPr>
        <w:t>Công ty ưu tiên thương lượng; sẵn sàng sử dụng trọng tài/tòa án khi cần ([Điền số vụ việc đã phát sinh 2016–2026]).</w:t>
      </w:r>
    </w:p>
    <w:p>
      <w:pPr>
        <w:spacing w:after="60" w:before="160" w:line="276" w:lineRule="auto"/>
      </w:pPr>
      <w:r>
        <w:rPr>
          <w:rFonts w:ascii="Times New Roman" w:hAnsi="Times New Roman" w:eastAsia="Times New Roman"/>
          <w:b/>
          <w:i w:val="0"/>
          <w:sz w:val="26"/>
        </w:rPr>
        <w:t>2.7.3. Đánh giá gắn Phụ lục II và chủ trương liên quan</w:t>
      </w:r>
    </w:p>
    <w:p>
      <w:pPr>
        <w:spacing w:after="120" w:before="0" w:line="276" w:lineRule="auto"/>
        <w:ind w:firstLine="567"/>
        <w:jc w:val="both"/>
      </w:pPr>
      <w:r>
        <w:rPr>
          <w:rFonts w:ascii="Times New Roman" w:hAnsi="Times New Roman" w:eastAsia="Times New Roman"/>
          <w:b w:val="0"/>
          <w:i w:val="0"/>
          <w:sz w:val="26"/>
        </w:rPr>
        <w:t>Thực tiễn chậm thanh toán gây ảnh hưởng dòng tiền doanh nghiệp sản xuất. Phụ lục II yêu cầu nghiên cứu bổ sung cơ chế xử lý nghiêm hành vi trì hoãn thực hiện nghĩa vụ thanh toán hợp đồng; tăng cường hiệu lực, hiệu quả của tòa án kinh tế và trọng tài thương mại trong tranh chấp thương mại quốc tế, bảo đảm nhanh chóng, công bằng, khách quan, bình đẳng theo Nghị quyết Đại hội XIII của Đảng, Nghị quyết số 66-NQ/TW, Nghị quyết số 68-NQ/TW của Bộ Chính trị và Nghị quyết số 138/NQ-CP ngày 16 tháng 5 năm 2025 của Chính phủ[2][19].</w:t>
      </w:r>
    </w:p>
    <w:p>
      <w:pPr>
        <w:spacing w:after="60" w:before="0" w:line="276" w:lineRule="auto"/>
      </w:pPr>
      <w:r>
        <w:rPr>
          <w:rFonts w:ascii="Times New Roman" w:hAnsi="Times New Roman" w:eastAsia="Times New Roman"/>
          <w:b/>
          <w:i w:val="0"/>
          <w:sz w:val="26"/>
        </w:rPr>
        <w:t>Kiến nghị định hướng sớm (sẽ cụ thể hóa tại Mục V):</w:t>
      </w:r>
      <w:r>
        <w:rPr>
          <w:rFonts w:ascii="Times New Roman" w:hAnsi="Times New Roman" w:eastAsia="Times New Roman"/>
          <w:b w:val="0"/>
          <w:i w:val="0"/>
          <w:sz w:val="26"/>
        </w:rPr>
        <w:t xml:space="preserve"> hoàn thiện chế tài đối với chậm thanh toán; rút ngắn thời gian giải quyết tranh chấp có yếu tố nước ngoài; khuyến khích điều khoản trọng tài rõ ràng trong hợp đồng xuất khẩu.</w:t>
      </w:r>
    </w:p>
    <w:p>
      <w:pPr>
        <w:spacing w:after="80" w:before="200" w:line="276" w:lineRule="auto"/>
      </w:pPr>
      <w:r>
        <w:rPr>
          <w:rFonts w:ascii="Times New Roman" w:hAnsi="Times New Roman" w:eastAsia="Times New Roman"/>
          <w:b/>
          <w:i w:val="0"/>
          <w:sz w:val="26"/>
        </w:rPr>
        <w:t>II.8. Chương VIII – Xử lý vi phạm pháp luật về thương mại</w:t>
      </w:r>
    </w:p>
    <w:p>
      <w:pPr>
        <w:spacing w:after="60" w:before="160" w:line="276" w:lineRule="auto"/>
      </w:pPr>
      <w:r>
        <w:rPr>
          <w:rFonts w:ascii="Times New Roman" w:hAnsi="Times New Roman" w:eastAsia="Times New Roman"/>
          <w:b/>
          <w:i w:val="0"/>
          <w:sz w:val="26"/>
        </w:rPr>
        <w:t>2.8.1. Quy định liên quan</w:t>
      </w:r>
    </w:p>
    <w:p>
      <w:pPr>
        <w:spacing w:after="120" w:before="0" w:line="276" w:lineRule="auto"/>
        <w:ind w:firstLine="567"/>
        <w:jc w:val="both"/>
      </w:pPr>
      <w:r>
        <w:rPr>
          <w:rFonts w:ascii="Times New Roman" w:hAnsi="Times New Roman" w:eastAsia="Times New Roman"/>
          <w:b w:val="0"/>
          <w:i w:val="0"/>
          <w:sz w:val="26"/>
        </w:rPr>
        <w:t>Chương VIII Luật Thương mại năm 2005 quy định nguyên tắc xử lý vi phạm pháp luật về thương mại[1]. Trên thực tế, xử phạt vi phạm hành chính trong hoạt động thương mại được cụ thể hóa chủ yếu tại các nghị định chuyên ngành, điển hình Nghị định số 98/2020/NĐ-CP ngày 26 tháng 8 năm 2020 (được sửa đổi, bổ sung) về xử phạt VPHC trong hoạt động thương mại, sản xuất, buôn bán hàng giả, hàng cấm, hàng bảo vệ quyền lợi người tiêu dùng…[20].</w:t>
      </w:r>
    </w:p>
    <w:p>
      <w:pPr>
        <w:spacing w:after="60" w:before="160" w:line="276" w:lineRule="auto"/>
      </w:pPr>
      <w:r>
        <w:rPr>
          <w:rFonts w:ascii="Times New Roman" w:hAnsi="Times New Roman" w:eastAsia="Times New Roman"/>
          <w:b/>
          <w:i w:val="0"/>
          <w:sz w:val="26"/>
        </w:rPr>
        <w:t>2.8.2. Thực tiễn tuân thủ của Công ty</w:t>
      </w:r>
    </w:p>
    <w:p>
      <w:pPr>
        <w:spacing w:after="120" w:before="0" w:line="276" w:lineRule="auto"/>
        <w:ind w:firstLine="567"/>
        <w:jc w:val="both"/>
      </w:pPr>
      <w:r>
        <w:rPr>
          <w:rFonts w:ascii="Times New Roman" w:hAnsi="Times New Roman" w:eastAsia="Times New Roman"/>
          <w:b w:val="0"/>
          <w:i w:val="0"/>
          <w:sz w:val="26"/>
        </w:rPr>
        <w:t>Công ty chú trọng kiểm soát điều kiện kinh doanh PCCC, chất lượng sản phẩm, ghi nhãn, hóa đơn – chứng từ và thủ tục xuất khẩu nhằm hạn chế rủi ro VPHC. Trường hợp phát sinh (nếu có): [Điền số liệu/vụ việc].</w:t>
      </w:r>
    </w:p>
    <w:p>
      <w:pPr>
        <w:spacing w:after="60" w:before="160" w:line="276" w:lineRule="auto"/>
      </w:pPr>
      <w:r>
        <w:rPr>
          <w:rFonts w:ascii="Times New Roman" w:hAnsi="Times New Roman" w:eastAsia="Times New Roman"/>
          <w:b/>
          <w:i w:val="0"/>
          <w:sz w:val="26"/>
        </w:rPr>
        <w:t>2.8.3. Tồn tại</w:t>
      </w:r>
    </w:p>
    <w:p>
      <w:pPr>
        <w:spacing w:after="120" w:before="0" w:line="276" w:lineRule="auto"/>
        <w:ind w:firstLine="567"/>
        <w:jc w:val="both"/>
      </w:pPr>
      <w:r>
        <w:rPr>
          <w:rFonts w:ascii="Times New Roman" w:hAnsi="Times New Roman" w:eastAsia="Times New Roman"/>
          <w:b w:val="0"/>
          <w:i w:val="0"/>
          <w:sz w:val="26"/>
        </w:rPr>
        <w:t>Ranh giới giữa xử lý vi phạm theo pháp luật thương mại với vi phạm hải quan, PCCC, tiêu chuẩn đo lường chất lượng đôi khi chồng chéo về hành vi và thẩm quyền; doanh nghiệp phát sinh chi phí giải trình nhiều đầu mối. Cần xác định rõ luật điều chỉnh khi rà soát hiệu lực Luật Thương mại (đúng định hướng Phụ lục II).</w:t>
      </w:r>
    </w:p>
    <w:p>
      <w:pPr>
        <w:spacing w:after="80" w:before="200" w:line="276" w:lineRule="auto"/>
      </w:pPr>
      <w:r>
        <w:rPr>
          <w:rFonts w:ascii="Times New Roman" w:hAnsi="Times New Roman" w:eastAsia="Times New Roman"/>
          <w:b/>
          <w:i w:val="0"/>
          <w:sz w:val="26"/>
        </w:rPr>
        <w:t>II.9. Thể chế hóa cam kết trong các FTA</w:t>
      </w:r>
    </w:p>
    <w:p>
      <w:pPr>
        <w:spacing w:after="60" w:before="160" w:line="276" w:lineRule="auto"/>
      </w:pPr>
      <w:r>
        <w:rPr>
          <w:rFonts w:ascii="Times New Roman" w:hAnsi="Times New Roman" w:eastAsia="Times New Roman"/>
          <w:b/>
          <w:i w:val="0"/>
          <w:sz w:val="26"/>
        </w:rPr>
        <w:t>2.9.1. Cơ sở pháp lý nội luật</w:t>
      </w:r>
    </w:p>
    <w:p>
      <w:pPr>
        <w:spacing w:after="120" w:before="0" w:line="276" w:lineRule="auto"/>
        <w:ind w:firstLine="567"/>
        <w:jc w:val="both"/>
      </w:pPr>
      <w:r>
        <w:rPr>
          <w:rFonts w:ascii="Times New Roman" w:hAnsi="Times New Roman" w:eastAsia="Times New Roman"/>
          <w:b w:val="0"/>
          <w:i w:val="0"/>
          <w:sz w:val="26"/>
        </w:rPr>
        <w:t>Điều 5 Luật Thương mại năm 2005 khẳng định nguyên tắc áp dụng điều ước quốc tế; trường hợp điều ước quốc tế mà Việt Nam là thành viên có quy định khác với quy định của Luật này thì áp dụng quy định của điều ước quốc tế[1]. Từ năm 2017, nhiều nghĩa vụ tạo thuận lợi thương mại, quản lý xuất nhập khẩu được cụ thể hóa tại Luật Quản lý ngoại thương năm 2017 và văn bản hướng dẫn[9][10].</w:t>
      </w:r>
    </w:p>
    <w:p>
      <w:pPr>
        <w:spacing w:after="60" w:before="160" w:line="276" w:lineRule="auto"/>
      </w:pPr>
      <w:r>
        <w:rPr>
          <w:rFonts w:ascii="Times New Roman" w:hAnsi="Times New Roman" w:eastAsia="Times New Roman"/>
          <w:b/>
          <w:i w:val="0"/>
          <w:sz w:val="26"/>
        </w:rPr>
        <w:t>2.9.2. Đánh giá từ góc độ xuất khẩu hộp sắt đa năng</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E2F3" w:val="clear"/>
          </w:tcPr>
          <w:p>
            <w:pPr>
              <w:jc w:val="left"/>
            </w:pPr>
            <w:r/>
            <w:r>
              <w:rPr>
                <w:rFonts w:ascii="Times New Roman" w:hAnsi="Times New Roman" w:eastAsia="Times New Roman"/>
                <w:b/>
                <w:i w:val="0"/>
                <w:sz w:val="22"/>
              </w:rPr>
              <w:t>Nhóm nội dung</w:t>
            </w:r>
          </w:p>
        </w:tc>
        <w:tc>
          <w:tcPr>
            <w:tcW w:type="dxa" w:w="3024"/>
            <w:shd w:fill="D9E2F3" w:val="clear"/>
          </w:tcPr>
          <w:p>
            <w:pPr>
              <w:jc w:val="left"/>
            </w:pPr>
            <w:r/>
            <w:r>
              <w:rPr>
                <w:rFonts w:ascii="Times New Roman" w:hAnsi="Times New Roman" w:eastAsia="Times New Roman"/>
                <w:b/>
                <w:i w:val="0"/>
                <w:sz w:val="22"/>
              </w:rPr>
              <w:t>Mức độ thể chế hóa</w:t>
            </w:r>
          </w:p>
        </w:tc>
        <w:tc>
          <w:tcPr>
            <w:tcW w:type="dxa" w:w="3024"/>
            <w:shd w:fill="D9E2F3" w:val="clear"/>
          </w:tcPr>
          <w:p>
            <w:pPr>
              <w:jc w:val="left"/>
            </w:pPr>
            <w:r/>
            <w:r>
              <w:rPr>
                <w:rFonts w:ascii="Times New Roman" w:hAnsi="Times New Roman" w:eastAsia="Times New Roman"/>
                <w:b/>
                <w:i w:val="0"/>
                <w:sz w:val="22"/>
              </w:rPr>
              <w:t>Đánh giá thực tiễn DN</w:t>
            </w:r>
          </w:p>
        </w:tc>
      </w:tr>
      <w:tr>
        <w:tc>
          <w:tcPr>
            <w:tcW w:type="dxa" w:w="3024"/>
          </w:tcPr>
          <w:p>
            <w:pPr>
              <w:jc w:val="left"/>
            </w:pPr>
            <w:r/>
            <w:r>
              <w:rPr>
                <w:rFonts w:ascii="Times New Roman" w:hAnsi="Times New Roman" w:eastAsia="Times New Roman"/>
                <w:b w:val="0"/>
                <w:i w:val="0"/>
                <w:sz w:val="22"/>
              </w:rPr>
              <w:t>Thủ tục XNK, biện pháp quản lý ngoại thương</w:t>
            </w:r>
          </w:p>
        </w:tc>
        <w:tc>
          <w:tcPr>
            <w:tcW w:type="dxa" w:w="3024"/>
          </w:tcPr>
          <w:p>
            <w:pPr>
              <w:jc w:val="left"/>
            </w:pPr>
            <w:r/>
            <w:r>
              <w:rPr>
                <w:rFonts w:ascii="Times New Roman" w:hAnsi="Times New Roman" w:eastAsia="Times New Roman"/>
                <w:b w:val="0"/>
                <w:i w:val="0"/>
                <w:sz w:val="22"/>
              </w:rPr>
              <w:t>Tương đối đầy đủ tại Luật Quản lý ngoại thương và NĐ 69/2018/NĐ-CP</w:t>
            </w:r>
          </w:p>
        </w:tc>
        <w:tc>
          <w:tcPr>
            <w:tcW w:type="dxa" w:w="3024"/>
          </w:tcPr>
          <w:p>
            <w:pPr>
              <w:jc w:val="left"/>
            </w:pPr>
            <w:r/>
            <w:r>
              <w:rPr>
                <w:rFonts w:ascii="Times New Roman" w:hAnsi="Times New Roman" w:eastAsia="Times New Roman"/>
                <w:b w:val="0"/>
                <w:i w:val="0"/>
                <w:sz w:val="22"/>
              </w:rPr>
              <w:t>DN phải cập nhật thường xuyên danh mục/chính sách</w:t>
            </w:r>
          </w:p>
        </w:tc>
      </w:tr>
      <w:tr>
        <w:tc>
          <w:tcPr>
            <w:tcW w:type="dxa" w:w="3024"/>
          </w:tcPr>
          <w:p>
            <w:pPr>
              <w:jc w:val="left"/>
            </w:pPr>
            <w:r/>
            <w:r>
              <w:rPr>
                <w:rFonts w:ascii="Times New Roman" w:hAnsi="Times New Roman" w:eastAsia="Times New Roman"/>
                <w:b w:val="0"/>
                <w:i w:val="0"/>
                <w:sz w:val="22"/>
              </w:rPr>
              <w:t>Quy tắc xuất xứ / ưu đãi thuế quan FTA</w:t>
            </w:r>
          </w:p>
        </w:tc>
        <w:tc>
          <w:tcPr>
            <w:tcW w:type="dxa" w:w="3024"/>
          </w:tcPr>
          <w:p>
            <w:pPr>
              <w:jc w:val="left"/>
            </w:pPr>
            <w:r/>
            <w:r>
              <w:rPr>
                <w:rFonts w:ascii="Times New Roman" w:hAnsi="Times New Roman" w:eastAsia="Times New Roman"/>
                <w:b w:val="0"/>
                <w:i w:val="0"/>
                <w:sz w:val="22"/>
              </w:rPr>
              <w:t>Chủ yếu tại văn bản chuyên ngành và điều ước</w:t>
            </w:r>
          </w:p>
        </w:tc>
        <w:tc>
          <w:tcPr>
            <w:tcW w:type="dxa" w:w="3024"/>
          </w:tcPr>
          <w:p>
            <w:pPr>
              <w:jc w:val="left"/>
            </w:pPr>
            <w:r/>
            <w:r>
              <w:rPr>
                <w:rFonts w:ascii="Times New Roman" w:hAnsi="Times New Roman" w:eastAsia="Times New Roman"/>
                <w:b w:val="0"/>
                <w:i w:val="0"/>
                <w:sz w:val="22"/>
              </w:rPr>
              <w:t>Còn vướng chứng từ, quy trình tự chứng nhận/ C/O</w:t>
            </w:r>
          </w:p>
        </w:tc>
      </w:tr>
      <w:tr>
        <w:tc>
          <w:tcPr>
            <w:tcW w:type="dxa" w:w="3024"/>
          </w:tcPr>
          <w:p>
            <w:pPr>
              <w:jc w:val="left"/>
            </w:pPr>
            <w:r/>
            <w:r>
              <w:rPr>
                <w:rFonts w:ascii="Times New Roman" w:hAnsi="Times New Roman" w:eastAsia="Times New Roman"/>
                <w:b w:val="0"/>
                <w:i w:val="0"/>
                <w:sz w:val="22"/>
              </w:rPr>
              <w:t>Đối xử quốc gia, minh bạch hóa</w:t>
            </w:r>
          </w:p>
        </w:tc>
        <w:tc>
          <w:tcPr>
            <w:tcW w:type="dxa" w:w="3024"/>
          </w:tcPr>
          <w:p>
            <w:pPr>
              <w:jc w:val="left"/>
            </w:pPr>
            <w:r/>
            <w:r>
              <w:rPr>
                <w:rFonts w:ascii="Times New Roman" w:hAnsi="Times New Roman" w:eastAsia="Times New Roman"/>
                <w:b w:val="0"/>
                <w:i w:val="0"/>
                <w:sz w:val="22"/>
              </w:rPr>
              <w:t>Được thể chế ở nhiều luật chuyên ngành</w:t>
            </w:r>
          </w:p>
        </w:tc>
        <w:tc>
          <w:tcPr>
            <w:tcW w:type="dxa" w:w="3024"/>
          </w:tcPr>
          <w:p>
            <w:pPr>
              <w:jc w:val="left"/>
            </w:pPr>
            <w:r/>
            <w:r>
              <w:rPr>
                <w:rFonts w:ascii="Times New Roman" w:hAnsi="Times New Roman" w:eastAsia="Times New Roman"/>
                <w:b w:val="0"/>
                <w:i w:val="0"/>
                <w:sz w:val="22"/>
              </w:rPr>
              <w:t>Luật Thương mại 2005 ít phản ánh trực tiếp chuẩn mực FTA thế hệ mới</w:t>
            </w:r>
          </w:p>
        </w:tc>
      </w:tr>
      <w:tr>
        <w:tc>
          <w:tcPr>
            <w:tcW w:type="dxa" w:w="3024"/>
          </w:tcPr>
          <w:p>
            <w:pPr>
              <w:jc w:val="left"/>
            </w:pPr>
            <w:r/>
            <w:r>
              <w:rPr>
                <w:rFonts w:ascii="Times New Roman" w:hAnsi="Times New Roman" w:eastAsia="Times New Roman"/>
                <w:b w:val="0"/>
                <w:i w:val="0"/>
                <w:sz w:val="22"/>
              </w:rPr>
              <w:t>Thương mại điện tử xuyên biên giới</w:t>
            </w:r>
          </w:p>
        </w:tc>
        <w:tc>
          <w:tcPr>
            <w:tcW w:type="dxa" w:w="3024"/>
          </w:tcPr>
          <w:p>
            <w:pPr>
              <w:jc w:val="left"/>
            </w:pPr>
            <w:r/>
            <w:r>
              <w:rPr>
                <w:rFonts w:ascii="Times New Roman" w:hAnsi="Times New Roman" w:eastAsia="Times New Roman"/>
                <w:b w:val="0"/>
                <w:i w:val="0"/>
                <w:sz w:val="22"/>
              </w:rPr>
              <w:t>Luật Giao dịch điện tử 2023 và VBPL liên quan[21]</w:t>
            </w:r>
          </w:p>
        </w:tc>
        <w:tc>
          <w:tcPr>
            <w:tcW w:type="dxa" w:w="3024"/>
          </w:tcPr>
          <w:p>
            <w:pPr>
              <w:jc w:val="left"/>
            </w:pPr>
            <w:r/>
            <w:r>
              <w:rPr>
                <w:rFonts w:ascii="Times New Roman" w:hAnsi="Times New Roman" w:eastAsia="Times New Roman"/>
                <w:b w:val="0"/>
                <w:i w:val="0"/>
                <w:sz w:val="22"/>
              </w:rPr>
              <w:t>Luật Thương mại chưa đồng bộ đầy đủ</w:t>
            </w:r>
          </w:p>
        </w:tc>
      </w:tr>
      <w:tr>
        <w:tc>
          <w:tcPr>
            <w:tcW w:type="dxa" w:w="3024"/>
          </w:tcPr>
          <w:p>
            <w:pPr>
              <w:jc w:val="left"/>
            </w:pPr>
            <w:r/>
            <w:r>
              <w:rPr>
                <w:rFonts w:ascii="Times New Roman" w:hAnsi="Times New Roman" w:eastAsia="Times New Roman"/>
                <w:b w:val="0"/>
                <w:i w:val="0"/>
                <w:sz w:val="22"/>
              </w:rPr>
              <w:t>Tiêu chuẩn môi trường – thương mại xanh</w:t>
            </w:r>
          </w:p>
        </w:tc>
        <w:tc>
          <w:tcPr>
            <w:tcW w:type="dxa" w:w="3024"/>
          </w:tcPr>
          <w:p>
            <w:pPr>
              <w:jc w:val="left"/>
            </w:pPr>
            <w:r/>
            <w:r>
              <w:rPr>
                <w:rFonts w:ascii="Times New Roman" w:hAnsi="Times New Roman" w:eastAsia="Times New Roman"/>
                <w:b w:val="0"/>
                <w:i w:val="0"/>
                <w:sz w:val="22"/>
              </w:rPr>
              <w:t>Cam kết FTA thế hệ mới + quy định thị trường nhập khẩu</w:t>
            </w:r>
          </w:p>
        </w:tc>
        <w:tc>
          <w:tcPr>
            <w:tcW w:type="dxa" w:w="3024"/>
          </w:tcPr>
          <w:p>
            <w:pPr>
              <w:jc w:val="left"/>
            </w:pPr>
            <w:r/>
            <w:r>
              <w:rPr>
                <w:rFonts w:ascii="Times New Roman" w:hAnsi="Times New Roman" w:eastAsia="Times New Roman"/>
                <w:b w:val="0"/>
                <w:i w:val="0"/>
                <w:sz w:val="22"/>
              </w:rPr>
              <w:t>Khoảng trống nội luật chuyên về “thương mại xanh”</w:t>
            </w:r>
          </w:p>
        </w:tc>
      </w:tr>
    </w:tbl>
    <w:p/>
    <w:p>
      <w:pPr>
        <w:spacing w:after="60" w:before="160" w:line="276" w:lineRule="auto"/>
      </w:pPr>
      <w:r>
        <w:rPr>
          <w:rFonts w:ascii="Times New Roman" w:hAnsi="Times New Roman" w:eastAsia="Times New Roman"/>
          <w:b/>
          <w:i w:val="0"/>
          <w:sz w:val="26"/>
        </w:rPr>
        <w:t>2.9.3. Nội dung cần tiếp tục hoàn thiện</w:t>
      </w:r>
    </w:p>
    <w:p>
      <w:pPr>
        <w:pStyle w:val="ListBullet"/>
        <w:spacing w:after="60" w:line="276" w:lineRule="auto"/>
        <w:jc w:val="both"/>
      </w:pPr>
      <w:r>
        <w:rPr>
          <w:rFonts w:ascii="Times New Roman" w:hAnsi="Times New Roman" w:eastAsia="Times New Roman"/>
          <w:b w:val="0"/>
          <w:i w:val="0"/>
          <w:sz w:val="26"/>
        </w:rPr>
        <w:t>Cập nhật Luật Thương mại (hoặc luật thay thế) theo chuẩn mực FTA thế hệ mới: thuận lợi hóa chuỗi cung ứng, minh bạch hóa thủ tục, thương mại số, môi trường.</w:t>
      </w:r>
    </w:p>
    <w:p>
      <w:pPr>
        <w:pStyle w:val="ListBullet"/>
        <w:spacing w:after="60" w:line="276" w:lineRule="auto"/>
        <w:jc w:val="both"/>
      </w:pPr>
      <w:r>
        <w:rPr>
          <w:rFonts w:ascii="Times New Roman" w:hAnsi="Times New Roman" w:eastAsia="Times New Roman"/>
          <w:b w:val="0"/>
          <w:i w:val="0"/>
          <w:sz w:val="26"/>
        </w:rPr>
        <w:t>Hướng dẫn thống nhất việc dẫn chiếu giữa hợp đồng thương mại quốc tế (Luật Thương mại/BLDS) với biện pháp quản lý ngoại thương.</w:t>
      </w:r>
    </w:p>
    <w:p>
      <w:pPr>
        <w:pStyle w:val="ListBullet"/>
        <w:spacing w:after="60" w:line="276" w:lineRule="auto"/>
        <w:jc w:val="both"/>
      </w:pPr>
      <w:r>
        <w:rPr>
          <w:rFonts w:ascii="Times New Roman" w:hAnsi="Times New Roman" w:eastAsia="Times New Roman"/>
          <w:b w:val="0"/>
          <w:i w:val="0"/>
          <w:sz w:val="26"/>
        </w:rPr>
        <w:t>Hỗ trợ doanh nghiệp công nghiệp quốc phòng làm hàng xuất khẩu dân sự trong tiếp cận thông tin FTA và phòng vệ thương mại.</w:t>
      </w:r>
    </w:p>
    <w:p>
      <w:pPr>
        <w:spacing w:after="80" w:before="200" w:line="276" w:lineRule="auto"/>
      </w:pPr>
      <w:r>
        <w:rPr>
          <w:rFonts w:ascii="Times New Roman" w:hAnsi="Times New Roman" w:eastAsia="Times New Roman"/>
          <w:b/>
          <w:i w:val="0"/>
          <w:sz w:val="26"/>
        </w:rPr>
        <w:t>II.10. Tác động tổng hợp đối với doanh nghiệp</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E2F3" w:val="clear"/>
          </w:tcPr>
          <w:p>
            <w:pPr>
              <w:jc w:val="left"/>
            </w:pPr>
            <w:r/>
            <w:r>
              <w:rPr>
                <w:rFonts w:ascii="Times New Roman" w:hAnsi="Times New Roman" w:eastAsia="Times New Roman"/>
                <w:b/>
                <w:i w:val="0"/>
                <w:sz w:val="22"/>
              </w:rPr>
              <w:t>Chỉ tiêu/khu vực tác động</w:t>
            </w:r>
          </w:p>
        </w:tc>
        <w:tc>
          <w:tcPr>
            <w:tcW w:type="dxa" w:w="3024"/>
            <w:shd w:fill="D9E2F3" w:val="clear"/>
          </w:tcPr>
          <w:p>
            <w:pPr>
              <w:jc w:val="left"/>
            </w:pPr>
            <w:r/>
            <w:r>
              <w:rPr>
                <w:rFonts w:ascii="Times New Roman" w:hAnsi="Times New Roman" w:eastAsia="Times New Roman"/>
                <w:b/>
                <w:i w:val="0"/>
                <w:sz w:val="22"/>
              </w:rPr>
              <w:t>Đánh giá định tính</w:t>
            </w:r>
          </w:p>
        </w:tc>
        <w:tc>
          <w:tcPr>
            <w:tcW w:type="dxa" w:w="3024"/>
            <w:shd w:fill="D9E2F3" w:val="clear"/>
          </w:tcPr>
          <w:p>
            <w:pPr>
              <w:jc w:val="left"/>
            </w:pPr>
            <w:r/>
            <w:r>
              <w:rPr>
                <w:rFonts w:ascii="Times New Roman" w:hAnsi="Times New Roman" w:eastAsia="Times New Roman"/>
                <w:b/>
                <w:i w:val="0"/>
                <w:sz w:val="22"/>
              </w:rPr>
              <w:t>Minh chứng số liệu</w:t>
            </w:r>
          </w:p>
        </w:tc>
      </w:tr>
      <w:tr>
        <w:tc>
          <w:tcPr>
            <w:tcW w:type="dxa" w:w="3024"/>
          </w:tcPr>
          <w:p>
            <w:pPr>
              <w:jc w:val="left"/>
            </w:pPr>
            <w:r/>
            <w:r>
              <w:rPr>
                <w:rFonts w:ascii="Times New Roman" w:hAnsi="Times New Roman" w:eastAsia="Times New Roman"/>
                <w:b w:val="0"/>
                <w:i w:val="0"/>
                <w:sz w:val="22"/>
              </w:rPr>
              <w:t>Môi trường đầu tư, kinh doanh</w:t>
            </w:r>
          </w:p>
        </w:tc>
        <w:tc>
          <w:tcPr>
            <w:tcW w:type="dxa" w:w="3024"/>
          </w:tcPr>
          <w:p>
            <w:pPr>
              <w:jc w:val="left"/>
            </w:pPr>
            <w:r/>
            <w:r>
              <w:rPr>
                <w:rFonts w:ascii="Times New Roman" w:hAnsi="Times New Roman" w:eastAsia="Times New Roman"/>
                <w:b w:val="0"/>
                <w:i w:val="0"/>
                <w:sz w:val="22"/>
              </w:rPr>
              <w:t>Luật tạo khung nền tảng; song chồng chéo làm tăng chi phí tuân thủ</w:t>
            </w:r>
          </w:p>
        </w:tc>
        <w:tc>
          <w:tcPr>
            <w:tcW w:type="dxa" w:w="3024"/>
          </w:tcPr>
          <w:p>
            <w:pPr>
              <w:jc w:val="left"/>
            </w:pPr>
            <w:r/>
            <w:r>
              <w:rPr>
                <w:rFonts w:ascii="Times New Roman" w:hAnsi="Times New Roman" w:eastAsia="Times New Roman"/>
                <w:b w:val="0"/>
                <w:i w:val="0"/>
                <w:sz w:val="22"/>
              </w:rPr>
              <w:t>[Điền]</w:t>
            </w:r>
          </w:p>
        </w:tc>
      </w:tr>
      <w:tr>
        <w:tc>
          <w:tcPr>
            <w:tcW w:type="dxa" w:w="3024"/>
          </w:tcPr>
          <w:p>
            <w:pPr>
              <w:jc w:val="left"/>
            </w:pPr>
            <w:r/>
            <w:r>
              <w:rPr>
                <w:rFonts w:ascii="Times New Roman" w:hAnsi="Times New Roman" w:eastAsia="Times New Roman"/>
                <w:b w:val="0"/>
                <w:i w:val="0"/>
                <w:sz w:val="22"/>
              </w:rPr>
              <w:t>Năng lực cạnh tranh</w:t>
            </w:r>
          </w:p>
        </w:tc>
        <w:tc>
          <w:tcPr>
            <w:tcW w:type="dxa" w:w="3024"/>
          </w:tcPr>
          <w:p>
            <w:pPr>
              <w:jc w:val="left"/>
            </w:pPr>
            <w:r/>
            <w:r>
              <w:rPr>
                <w:rFonts w:ascii="Times New Roman" w:hAnsi="Times New Roman" w:eastAsia="Times New Roman"/>
                <w:b w:val="0"/>
                <w:i w:val="0"/>
                <w:sz w:val="22"/>
              </w:rPr>
              <w:t>Hỗ trợ tham gia thị trường PCCC và xuất khẩu; logistics và chứng từ FTA là điểm nghẽn</w:t>
            </w:r>
          </w:p>
        </w:tc>
        <w:tc>
          <w:tcPr>
            <w:tcW w:type="dxa" w:w="3024"/>
          </w:tcPr>
          <w:p>
            <w:pPr>
              <w:jc w:val="left"/>
            </w:pPr>
            <w:r/>
            <w:r>
              <w:rPr>
                <w:rFonts w:ascii="Times New Roman" w:hAnsi="Times New Roman" w:eastAsia="Times New Roman"/>
                <w:b w:val="0"/>
                <w:i w:val="0"/>
                <w:sz w:val="22"/>
              </w:rPr>
              <w:t>[Điền]</w:t>
            </w:r>
          </w:p>
        </w:tc>
      </w:tr>
      <w:tr>
        <w:tc>
          <w:tcPr>
            <w:tcW w:type="dxa" w:w="3024"/>
          </w:tcPr>
          <w:p>
            <w:pPr>
              <w:jc w:val="left"/>
            </w:pPr>
            <w:r/>
            <w:r>
              <w:rPr>
                <w:rFonts w:ascii="Times New Roman" w:hAnsi="Times New Roman" w:eastAsia="Times New Roman"/>
                <w:b w:val="0"/>
                <w:i w:val="0"/>
                <w:sz w:val="22"/>
              </w:rPr>
              <w:t>Chi phí tuân thủ</w:t>
            </w:r>
          </w:p>
        </w:tc>
        <w:tc>
          <w:tcPr>
            <w:tcW w:type="dxa" w:w="3024"/>
          </w:tcPr>
          <w:p>
            <w:pPr>
              <w:jc w:val="left"/>
            </w:pPr>
            <w:r/>
            <w:r>
              <w:rPr>
                <w:rFonts w:ascii="Times New Roman" w:hAnsi="Times New Roman" w:eastAsia="Times New Roman"/>
                <w:b w:val="0"/>
                <w:i w:val="0"/>
                <w:sz w:val="22"/>
              </w:rPr>
              <w:t>Tăng ở khâu điều kiện chuyên ngành + XNK + kiểm soát nội bộ quốc phòng</w:t>
            </w:r>
          </w:p>
        </w:tc>
        <w:tc>
          <w:tcPr>
            <w:tcW w:type="dxa" w:w="3024"/>
          </w:tcPr>
          <w:p>
            <w:pPr>
              <w:jc w:val="left"/>
            </w:pPr>
            <w:r/>
            <w:r>
              <w:rPr>
                <w:rFonts w:ascii="Times New Roman" w:hAnsi="Times New Roman" w:eastAsia="Times New Roman"/>
                <w:b w:val="0"/>
                <w:i w:val="0"/>
                <w:sz w:val="22"/>
              </w:rPr>
              <w:t>[Điền]</w:t>
            </w:r>
          </w:p>
        </w:tc>
      </w:tr>
      <w:tr>
        <w:tc>
          <w:tcPr>
            <w:tcW w:type="dxa" w:w="3024"/>
          </w:tcPr>
          <w:p>
            <w:pPr>
              <w:jc w:val="left"/>
            </w:pPr>
            <w:r/>
            <w:r>
              <w:rPr>
                <w:rFonts w:ascii="Times New Roman" w:hAnsi="Times New Roman" w:eastAsia="Times New Roman"/>
                <w:b w:val="0"/>
                <w:i w:val="0"/>
                <w:sz w:val="22"/>
              </w:rPr>
              <w:t>Việc làm</w:t>
            </w:r>
          </w:p>
        </w:tc>
        <w:tc>
          <w:tcPr>
            <w:tcW w:type="dxa" w:w="3024"/>
          </w:tcPr>
          <w:p>
            <w:pPr>
              <w:jc w:val="left"/>
            </w:pPr>
            <w:r/>
            <w:r>
              <w:rPr>
                <w:rFonts w:ascii="Times New Roman" w:hAnsi="Times New Roman" w:eastAsia="Times New Roman"/>
                <w:b w:val="0"/>
                <w:i w:val="0"/>
                <w:sz w:val="22"/>
              </w:rPr>
              <w:t>Duy trì việc làm kỹ thuật và lao động xuất khẩu gián tiếp</w:t>
            </w:r>
          </w:p>
        </w:tc>
        <w:tc>
          <w:tcPr>
            <w:tcW w:type="dxa" w:w="3024"/>
          </w:tcPr>
          <w:p>
            <w:pPr>
              <w:jc w:val="left"/>
            </w:pPr>
            <w:r/>
            <w:r>
              <w:rPr>
                <w:rFonts w:ascii="Times New Roman" w:hAnsi="Times New Roman" w:eastAsia="Times New Roman"/>
                <w:b w:val="0"/>
                <w:i w:val="0"/>
                <w:sz w:val="22"/>
              </w:rPr>
              <w:t>[Điền] lao động</w:t>
            </w:r>
          </w:p>
        </w:tc>
      </w:tr>
      <w:tr>
        <w:tc>
          <w:tcPr>
            <w:tcW w:type="dxa" w:w="3024"/>
          </w:tcPr>
          <w:p>
            <w:pPr>
              <w:jc w:val="left"/>
            </w:pPr>
            <w:r/>
            <w:r>
              <w:rPr>
                <w:rFonts w:ascii="Times New Roman" w:hAnsi="Times New Roman" w:eastAsia="Times New Roman"/>
                <w:b w:val="0"/>
                <w:i w:val="0"/>
                <w:sz w:val="22"/>
              </w:rPr>
              <w:t>Đóng góp NSNN</w:t>
            </w:r>
          </w:p>
        </w:tc>
        <w:tc>
          <w:tcPr>
            <w:tcW w:type="dxa" w:w="3024"/>
          </w:tcPr>
          <w:p>
            <w:pPr>
              <w:jc w:val="left"/>
            </w:pPr>
            <w:r/>
            <w:r>
              <w:rPr>
                <w:rFonts w:ascii="Times New Roman" w:hAnsi="Times New Roman" w:eastAsia="Times New Roman"/>
                <w:b w:val="0"/>
                <w:i w:val="0"/>
                <w:sz w:val="22"/>
              </w:rPr>
              <w:t>Thuế, phí liên quan hoạt động SXKD</w:t>
            </w:r>
          </w:p>
        </w:tc>
        <w:tc>
          <w:tcPr>
            <w:tcW w:type="dxa" w:w="3024"/>
          </w:tcPr>
          <w:p>
            <w:pPr>
              <w:jc w:val="left"/>
            </w:pPr>
            <w:r/>
            <w:r>
              <w:rPr>
                <w:rFonts w:ascii="Times New Roman" w:hAnsi="Times New Roman" w:eastAsia="Times New Roman"/>
                <w:b w:val="0"/>
                <w:i w:val="0"/>
                <w:sz w:val="22"/>
              </w:rPr>
              <w:t>[Điền] tỷ đồng</w:t>
            </w:r>
          </w:p>
        </w:tc>
      </w:tr>
    </w:tbl>
    <w:p/>
    <w:p>
      <w:pPr>
        <w:spacing w:after="120" w:before="200" w:line="276" w:lineRule="auto"/>
        <w:jc w:val="center"/>
      </w:pPr>
      <w:r>
        <w:rPr>
          <w:rFonts w:ascii="Times New Roman" w:hAnsi="Times New Roman" w:eastAsia="Times New Roman"/>
          <w:b/>
          <w:i w:val="0"/>
          <w:sz w:val="28"/>
        </w:rPr>
        <w:t>III. ĐÁNH GIÁ KHÓ KHĂN, VƯỚNG MẮC, BẤT CẬP VÀ NGUYÊN NHÂN</w:t>
      </w:r>
    </w:p>
    <w:p>
      <w:pPr>
        <w:spacing w:after="80" w:before="200" w:line="276" w:lineRule="auto"/>
      </w:pPr>
      <w:r>
        <w:rPr>
          <w:rFonts w:ascii="Times New Roman" w:hAnsi="Times New Roman" w:eastAsia="Times New Roman"/>
          <w:b/>
          <w:i w:val="0"/>
          <w:sz w:val="26"/>
        </w:rPr>
        <w:t>III.1. Mức độ phù hợp với yêu cầu phát triển KTXH và thực tiễn thương mại</w:t>
      </w:r>
    </w:p>
    <w:p>
      <w:pPr>
        <w:spacing w:after="120" w:before="0" w:line="276" w:lineRule="auto"/>
        <w:ind w:firstLine="567"/>
        <w:jc w:val="both"/>
      </w:pPr>
      <w:r>
        <w:rPr>
          <w:rFonts w:ascii="Times New Roman" w:hAnsi="Times New Roman" w:eastAsia="Times New Roman"/>
          <w:b w:val="0"/>
          <w:i w:val="0"/>
          <w:sz w:val="26"/>
        </w:rPr>
        <w:t>Luật Thương mại năm 2005 từng phát huy vai trò quan trọng trong việc tạo lập khung pháp lý cho hoạt động thương mại. Tuy nhiên, đến giai đoạn 2016–2026, nhiều quy định chưa bắt kịp:</w:t>
      </w:r>
    </w:p>
    <w:p>
      <w:pPr>
        <w:pStyle w:val="ListBullet"/>
        <w:spacing w:after="60" w:line="276" w:lineRule="auto"/>
        <w:jc w:val="both"/>
      </w:pPr>
      <w:r>
        <w:rPr>
          <w:rFonts w:ascii="Times New Roman" w:hAnsi="Times New Roman" w:eastAsia="Times New Roman"/>
          <w:b w:val="0"/>
          <w:i w:val="0"/>
          <w:sz w:val="26"/>
        </w:rPr>
        <w:t>Mô hình gia công tham gia chuỗi cung ứng toàn cầu;</w:t>
      </w:r>
    </w:p>
    <w:p>
      <w:pPr>
        <w:pStyle w:val="ListBullet"/>
        <w:spacing w:after="60" w:line="276" w:lineRule="auto"/>
        <w:jc w:val="both"/>
      </w:pPr>
      <w:r>
        <w:rPr>
          <w:rFonts w:ascii="Times New Roman" w:hAnsi="Times New Roman" w:eastAsia="Times New Roman"/>
          <w:b w:val="0"/>
          <w:i w:val="0"/>
          <w:sz w:val="26"/>
        </w:rPr>
        <w:t>Kinh doanh đa kênh đối với hàng PCCC;</w:t>
      </w:r>
    </w:p>
    <w:p>
      <w:pPr>
        <w:pStyle w:val="ListBullet"/>
        <w:spacing w:after="60" w:line="276" w:lineRule="auto"/>
        <w:jc w:val="both"/>
      </w:pPr>
      <w:r>
        <w:rPr>
          <w:rFonts w:ascii="Times New Roman" w:hAnsi="Times New Roman" w:eastAsia="Times New Roman"/>
          <w:b w:val="0"/>
          <w:i w:val="0"/>
          <w:sz w:val="26"/>
        </w:rPr>
        <w:t>Xuất khẩu gắn tiêu chuẩn kỹ thuật – môi trường của thị trường nhập khẩu;</w:t>
      </w:r>
    </w:p>
    <w:p>
      <w:pPr>
        <w:pStyle w:val="ListBullet"/>
        <w:spacing w:after="60" w:line="276" w:lineRule="auto"/>
        <w:jc w:val="both"/>
      </w:pPr>
      <w:r>
        <w:rPr>
          <w:rFonts w:ascii="Times New Roman" w:hAnsi="Times New Roman" w:eastAsia="Times New Roman"/>
          <w:b w:val="0"/>
          <w:i w:val="0"/>
          <w:sz w:val="26"/>
        </w:rPr>
        <w:t>Giao dịch điện tử, hợp đồng thông minh, thương mại xanh.</w:t>
      </w:r>
    </w:p>
    <w:p>
      <w:pPr>
        <w:spacing w:after="80" w:before="200" w:line="276" w:lineRule="auto"/>
      </w:pPr>
      <w:r>
        <w:rPr>
          <w:rFonts w:ascii="Times New Roman" w:hAnsi="Times New Roman" w:eastAsia="Times New Roman"/>
          <w:b/>
          <w:i w:val="0"/>
          <w:sz w:val="26"/>
        </w:rPr>
        <w:t>III.2. Tính thống nhất, đồng bộ với hệ thống pháp luật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E2F3" w:val="clear"/>
          </w:tcPr>
          <w:p>
            <w:pPr>
              <w:jc w:val="left"/>
            </w:pPr>
            <w:r/>
            <w:r>
              <w:rPr>
                <w:rFonts w:ascii="Times New Roman" w:hAnsi="Times New Roman" w:eastAsia="Times New Roman"/>
                <w:b/>
                <w:i w:val="0"/>
                <w:sz w:val="22"/>
              </w:rPr>
              <w:t>Nhóm giao thoa</w:t>
            </w:r>
          </w:p>
        </w:tc>
        <w:tc>
          <w:tcPr>
            <w:tcW w:type="dxa" w:w="3024"/>
            <w:shd w:fill="D9E2F3" w:val="clear"/>
          </w:tcPr>
          <w:p>
            <w:pPr>
              <w:jc w:val="left"/>
            </w:pPr>
            <w:r/>
            <w:r>
              <w:rPr>
                <w:rFonts w:ascii="Times New Roman" w:hAnsi="Times New Roman" w:eastAsia="Times New Roman"/>
                <w:b/>
                <w:i w:val="0"/>
                <w:sz w:val="22"/>
              </w:rPr>
              <w:t>Biểu hiện vướng mắc</w:t>
            </w:r>
          </w:p>
        </w:tc>
        <w:tc>
          <w:tcPr>
            <w:tcW w:type="dxa" w:w="3024"/>
            <w:shd w:fill="D9E2F3" w:val="clear"/>
          </w:tcPr>
          <w:p>
            <w:pPr>
              <w:jc w:val="left"/>
            </w:pPr>
            <w:r/>
            <w:r>
              <w:rPr>
                <w:rFonts w:ascii="Times New Roman" w:hAnsi="Times New Roman" w:eastAsia="Times New Roman"/>
                <w:b/>
                <w:i w:val="0"/>
                <w:sz w:val="22"/>
              </w:rPr>
              <w:t>Hệ quả với Công ty</w:t>
            </w:r>
          </w:p>
        </w:tc>
      </w:tr>
      <w:tr>
        <w:tc>
          <w:tcPr>
            <w:tcW w:type="dxa" w:w="3024"/>
          </w:tcPr>
          <w:p>
            <w:pPr>
              <w:jc w:val="left"/>
            </w:pPr>
            <w:r/>
            <w:r>
              <w:rPr>
                <w:rFonts w:ascii="Times New Roman" w:hAnsi="Times New Roman" w:eastAsia="Times New Roman"/>
                <w:b w:val="0"/>
                <w:i w:val="0"/>
                <w:sz w:val="22"/>
              </w:rPr>
              <w:t>Luật Thương mại ↔ Bộ luật Dân sự 2015[1][6]</w:t>
            </w:r>
          </w:p>
        </w:tc>
        <w:tc>
          <w:tcPr>
            <w:tcW w:type="dxa" w:w="3024"/>
          </w:tcPr>
          <w:p>
            <w:pPr>
              <w:jc w:val="left"/>
            </w:pPr>
            <w:r/>
            <w:r>
              <w:rPr>
                <w:rFonts w:ascii="Times New Roman" w:hAnsi="Times New Roman" w:eastAsia="Times New Roman"/>
                <w:b w:val="0"/>
                <w:i w:val="0"/>
                <w:sz w:val="22"/>
              </w:rPr>
              <w:t>Trùng lắp chế định hợp đồng, chế tài, bồi thường</w:t>
            </w:r>
          </w:p>
        </w:tc>
        <w:tc>
          <w:tcPr>
            <w:tcW w:type="dxa" w:w="3024"/>
          </w:tcPr>
          <w:p>
            <w:pPr>
              <w:jc w:val="left"/>
            </w:pPr>
            <w:r/>
            <w:r>
              <w:rPr>
                <w:rFonts w:ascii="Times New Roman" w:hAnsi="Times New Roman" w:eastAsia="Times New Roman"/>
                <w:b w:val="0"/>
                <w:i w:val="0"/>
                <w:sz w:val="22"/>
              </w:rPr>
              <w:t>Khó chọn chuẩn mực dẫn chiếu khi soạn thảo/tranh chấp</w:t>
            </w:r>
          </w:p>
        </w:tc>
      </w:tr>
      <w:tr>
        <w:tc>
          <w:tcPr>
            <w:tcW w:type="dxa" w:w="3024"/>
          </w:tcPr>
          <w:p>
            <w:pPr>
              <w:jc w:val="left"/>
            </w:pPr>
            <w:r/>
            <w:r>
              <w:rPr>
                <w:rFonts w:ascii="Times New Roman" w:hAnsi="Times New Roman" w:eastAsia="Times New Roman"/>
                <w:b w:val="0"/>
                <w:i w:val="0"/>
                <w:sz w:val="22"/>
              </w:rPr>
              <w:t>Luật Thương mại ↔ Luật Quản lý ngoại thương 2017[1][9]</w:t>
            </w:r>
          </w:p>
        </w:tc>
        <w:tc>
          <w:tcPr>
            <w:tcW w:type="dxa" w:w="3024"/>
          </w:tcPr>
          <w:p>
            <w:pPr>
              <w:jc w:val="left"/>
            </w:pPr>
            <w:r/>
            <w:r>
              <w:rPr>
                <w:rFonts w:ascii="Times New Roman" w:hAnsi="Times New Roman" w:eastAsia="Times New Roman"/>
                <w:b w:val="0"/>
                <w:i w:val="0"/>
                <w:sz w:val="22"/>
              </w:rPr>
              <w:t>Hình thức XNK và quản lý nhà nước dịch chuyển sang luật mới</w:t>
            </w:r>
          </w:p>
        </w:tc>
        <w:tc>
          <w:tcPr>
            <w:tcW w:type="dxa" w:w="3024"/>
          </w:tcPr>
          <w:p>
            <w:pPr>
              <w:jc w:val="left"/>
            </w:pPr>
            <w:r/>
            <w:r>
              <w:rPr>
                <w:rFonts w:ascii="Times New Roman" w:hAnsi="Times New Roman" w:eastAsia="Times New Roman"/>
                <w:b w:val="0"/>
                <w:i w:val="0"/>
                <w:sz w:val="22"/>
              </w:rPr>
              <w:t>Rủi ro áp dụng song song, cập nhật không kịp</w:t>
            </w:r>
          </w:p>
        </w:tc>
      </w:tr>
      <w:tr>
        <w:tc>
          <w:tcPr>
            <w:tcW w:type="dxa" w:w="3024"/>
          </w:tcPr>
          <w:p>
            <w:pPr>
              <w:jc w:val="left"/>
            </w:pPr>
            <w:r/>
            <w:r>
              <w:rPr>
                <w:rFonts w:ascii="Times New Roman" w:hAnsi="Times New Roman" w:eastAsia="Times New Roman"/>
                <w:b w:val="0"/>
                <w:i w:val="0"/>
                <w:sz w:val="22"/>
              </w:rPr>
              <w:t>Luật Thương mại ↔ Luật Đầu tư/Doanh nghiệp[7][8]</w:t>
            </w:r>
          </w:p>
        </w:tc>
        <w:tc>
          <w:tcPr>
            <w:tcW w:type="dxa" w:w="3024"/>
          </w:tcPr>
          <w:p>
            <w:pPr>
              <w:jc w:val="left"/>
            </w:pPr>
            <w:r/>
            <w:r>
              <w:rPr>
                <w:rFonts w:ascii="Times New Roman" w:hAnsi="Times New Roman" w:eastAsia="Times New Roman"/>
                <w:b w:val="0"/>
                <w:i w:val="0"/>
                <w:sz w:val="22"/>
              </w:rPr>
              <w:t>Điều kiện kinh doanh, quyền tự do kinh doanh</w:t>
            </w:r>
          </w:p>
        </w:tc>
        <w:tc>
          <w:tcPr>
            <w:tcW w:type="dxa" w:w="3024"/>
          </w:tcPr>
          <w:p>
            <w:pPr>
              <w:jc w:val="left"/>
            </w:pPr>
            <w:r/>
            <w:r>
              <w:rPr>
                <w:rFonts w:ascii="Times New Roman" w:hAnsi="Times New Roman" w:eastAsia="Times New Roman"/>
                <w:b w:val="0"/>
                <w:i w:val="0"/>
                <w:sz w:val="22"/>
              </w:rPr>
              <w:t>Thủ tục chồng lớp với ngành PCCC</w:t>
            </w:r>
          </w:p>
        </w:tc>
      </w:tr>
      <w:tr>
        <w:tc>
          <w:tcPr>
            <w:tcW w:type="dxa" w:w="3024"/>
          </w:tcPr>
          <w:p>
            <w:pPr>
              <w:jc w:val="left"/>
            </w:pPr>
            <w:r/>
            <w:r>
              <w:rPr>
                <w:rFonts w:ascii="Times New Roman" w:hAnsi="Times New Roman" w:eastAsia="Times New Roman"/>
                <w:b w:val="0"/>
                <w:i w:val="0"/>
                <w:sz w:val="22"/>
              </w:rPr>
              <w:t>Luật Thương mại ↔ pháp luật PCCC[12]</w:t>
            </w:r>
          </w:p>
        </w:tc>
        <w:tc>
          <w:tcPr>
            <w:tcW w:type="dxa" w:w="3024"/>
          </w:tcPr>
          <w:p>
            <w:pPr>
              <w:jc w:val="left"/>
            </w:pPr>
            <w:r/>
            <w:r>
              <w:rPr>
                <w:rFonts w:ascii="Times New Roman" w:hAnsi="Times New Roman" w:eastAsia="Times New Roman"/>
                <w:b w:val="0"/>
                <w:i w:val="0"/>
                <w:sz w:val="22"/>
              </w:rPr>
              <w:t>Chất lượng, điều kiện kinh doanh, dịch vụ kỹ thuật</w:t>
            </w:r>
          </w:p>
        </w:tc>
        <w:tc>
          <w:tcPr>
            <w:tcW w:type="dxa" w:w="3024"/>
          </w:tcPr>
          <w:p>
            <w:pPr>
              <w:jc w:val="left"/>
            </w:pPr>
            <w:r/>
            <w:r>
              <w:rPr>
                <w:rFonts w:ascii="Times New Roman" w:hAnsi="Times New Roman" w:eastAsia="Times New Roman"/>
                <w:b w:val="0"/>
                <w:i w:val="0"/>
                <w:sz w:val="22"/>
              </w:rPr>
              <w:t>Tăng chi phí tuân thủ</w:t>
            </w:r>
          </w:p>
        </w:tc>
      </w:tr>
      <w:tr>
        <w:tc>
          <w:tcPr>
            <w:tcW w:type="dxa" w:w="3024"/>
          </w:tcPr>
          <w:p>
            <w:pPr>
              <w:jc w:val="left"/>
            </w:pPr>
            <w:r/>
            <w:r>
              <w:rPr>
                <w:rFonts w:ascii="Times New Roman" w:hAnsi="Times New Roman" w:eastAsia="Times New Roman"/>
                <w:b w:val="0"/>
                <w:i w:val="0"/>
                <w:sz w:val="22"/>
              </w:rPr>
              <w:t>Luật Thương mại ↔ pháp luật quốc phòng/CNQP</w:t>
            </w:r>
          </w:p>
        </w:tc>
        <w:tc>
          <w:tcPr>
            <w:tcW w:type="dxa" w:w="3024"/>
          </w:tcPr>
          <w:p>
            <w:pPr>
              <w:jc w:val="left"/>
            </w:pPr>
            <w:r/>
            <w:r>
              <w:rPr>
                <w:rFonts w:ascii="Times New Roman" w:hAnsi="Times New Roman" w:eastAsia="Times New Roman"/>
                <w:b w:val="0"/>
                <w:i w:val="0"/>
                <w:sz w:val="22"/>
              </w:rPr>
              <w:t>Bảo mật, lưỡng dụng, thẩm quyền quyết định giao dịch</w:t>
            </w:r>
          </w:p>
        </w:tc>
        <w:tc>
          <w:tcPr>
            <w:tcW w:type="dxa" w:w="3024"/>
          </w:tcPr>
          <w:p>
            <w:pPr>
              <w:jc w:val="left"/>
            </w:pPr>
            <w:r/>
            <w:r>
              <w:rPr>
                <w:rFonts w:ascii="Times New Roman" w:hAnsi="Times New Roman" w:eastAsia="Times New Roman"/>
                <w:b w:val="0"/>
                <w:i w:val="0"/>
                <w:sz w:val="22"/>
              </w:rPr>
              <w:t>Thời gian đàm phán – phê duyệt kéo dài</w:t>
            </w:r>
          </w:p>
        </w:tc>
      </w:tr>
    </w:tbl>
    <w:p/>
    <w:p>
      <w:pPr>
        <w:spacing w:after="80" w:before="200" w:line="276" w:lineRule="auto"/>
      </w:pPr>
      <w:r>
        <w:rPr>
          <w:rFonts w:ascii="Times New Roman" w:hAnsi="Times New Roman" w:eastAsia="Times New Roman"/>
          <w:b/>
          <w:i w:val="0"/>
          <w:sz w:val="26"/>
        </w:rPr>
        <w:t>III.3. Tính khả thi và hiệu quả thực thi</w:t>
      </w:r>
    </w:p>
    <w:p>
      <w:pPr>
        <w:pStyle w:val="ListBullet"/>
        <w:spacing w:after="60" w:line="276" w:lineRule="auto"/>
        <w:jc w:val="both"/>
      </w:pPr>
      <w:r>
        <w:rPr>
          <w:rFonts w:ascii="Times New Roman" w:hAnsi="Times New Roman" w:eastAsia="Times New Roman"/>
          <w:b w:val="0"/>
          <w:i w:val="0"/>
          <w:sz w:val="26"/>
        </w:rPr>
        <w:t>Một số chế định còn mang tính khung, thiếu công cụ thực thi hiện đại (số hóa hợp đồng, chuẩn mực logistics).</w:t>
      </w:r>
    </w:p>
    <w:p>
      <w:pPr>
        <w:pStyle w:val="ListBullet"/>
        <w:spacing w:after="60" w:line="276" w:lineRule="auto"/>
        <w:jc w:val="both"/>
      </w:pPr>
      <w:r>
        <w:rPr>
          <w:rFonts w:ascii="Times New Roman" w:hAnsi="Times New Roman" w:eastAsia="Times New Roman"/>
          <w:b w:val="0"/>
          <w:i w:val="0"/>
          <w:sz w:val="26"/>
        </w:rPr>
        <w:t>Chế tài chậm thanh toán chưa đủ sức răn đe trong thực tiễn giao dịch B2B.</w:t>
      </w:r>
    </w:p>
    <w:p>
      <w:pPr>
        <w:pStyle w:val="ListBullet"/>
        <w:spacing w:after="60" w:line="276" w:lineRule="auto"/>
        <w:jc w:val="both"/>
      </w:pPr>
      <w:r>
        <w:rPr>
          <w:rFonts w:ascii="Times New Roman" w:hAnsi="Times New Roman" w:eastAsia="Times New Roman"/>
          <w:b w:val="0"/>
          <w:i w:val="0"/>
          <w:sz w:val="26"/>
        </w:rPr>
        <w:t>Doanh nghiệp quốc phòng khó tiếp cận đầy đủ các công cụ xúc tiến thương mại dành cho cộng đồng DN nói chung.</w:t>
      </w:r>
    </w:p>
    <w:p>
      <w:pPr>
        <w:spacing w:after="80" w:before="200" w:line="276" w:lineRule="auto"/>
      </w:pPr>
      <w:r>
        <w:rPr>
          <w:rFonts w:ascii="Times New Roman" w:hAnsi="Times New Roman" w:eastAsia="Times New Roman"/>
          <w:b/>
          <w:i w:val="0"/>
          <w:sz w:val="26"/>
        </w:rPr>
        <w:t>III.4. Tác động đến doanh nghiệp, người dân và cơ quan quản lý</w:t>
      </w:r>
    </w:p>
    <w:p>
      <w:pPr>
        <w:pStyle w:val="ListBullet"/>
        <w:spacing w:after="60" w:line="276" w:lineRule="auto"/>
        <w:jc w:val="both"/>
      </w:pPr>
      <w:r>
        <w:rPr>
          <w:rFonts w:ascii="Times New Roman" w:hAnsi="Times New Roman" w:eastAsia="Times New Roman"/>
          <w:b w:val="0"/>
          <w:i w:val="0"/>
          <w:sz w:val="26"/>
        </w:rPr>
      </w:r>
      <w:r>
        <w:rPr>
          <w:rFonts w:ascii="Times New Roman" w:hAnsi="Times New Roman" w:eastAsia="Times New Roman"/>
          <w:b/>
          <w:i w:val="0"/>
          <w:sz w:val="26"/>
        </w:rPr>
        <w:t>Doanh nghiệp:</w:t>
      </w:r>
      <w:r>
        <w:rPr>
          <w:rFonts w:ascii="Times New Roman" w:hAnsi="Times New Roman" w:eastAsia="Times New Roman"/>
          <w:b w:val="0"/>
          <w:i w:val="0"/>
          <w:sz w:val="26"/>
        </w:rPr>
        <w:t xml:space="preserve"> tăng chi phí tuân thủ, rủi ro chọn sai căn cứ pháp lý cho hợp đồng hỗn hợp.</w:t>
      </w:r>
    </w:p>
    <w:p>
      <w:pPr>
        <w:pStyle w:val="ListBullet"/>
        <w:spacing w:after="60" w:line="276" w:lineRule="auto"/>
        <w:jc w:val="both"/>
      </w:pPr>
      <w:r>
        <w:rPr>
          <w:rFonts w:ascii="Times New Roman" w:hAnsi="Times New Roman" w:eastAsia="Times New Roman"/>
          <w:b w:val="0"/>
          <w:i w:val="0"/>
          <w:sz w:val="26"/>
        </w:rPr>
      </w:r>
      <w:r>
        <w:rPr>
          <w:rFonts w:ascii="Times New Roman" w:hAnsi="Times New Roman" w:eastAsia="Times New Roman"/>
          <w:b/>
          <w:i w:val="0"/>
          <w:sz w:val="26"/>
        </w:rPr>
        <w:t>Cơ quan quản lý:</w:t>
      </w:r>
      <w:r>
        <w:rPr>
          <w:rFonts w:ascii="Times New Roman" w:hAnsi="Times New Roman" w:eastAsia="Times New Roman"/>
          <w:b w:val="0"/>
          <w:i w:val="0"/>
          <w:sz w:val="26"/>
        </w:rPr>
        <w:t xml:space="preserve"> phân tán thẩm quyền giữa thương mại – chuyên ngành – hải quan – quốc phòng.</w:t>
      </w:r>
    </w:p>
    <w:p>
      <w:pPr>
        <w:pStyle w:val="ListBullet"/>
        <w:spacing w:after="60" w:line="276" w:lineRule="auto"/>
        <w:jc w:val="both"/>
      </w:pPr>
      <w:r>
        <w:rPr>
          <w:rFonts w:ascii="Times New Roman" w:hAnsi="Times New Roman" w:eastAsia="Times New Roman"/>
          <w:b w:val="0"/>
          <w:i w:val="0"/>
          <w:sz w:val="26"/>
        </w:rPr>
      </w:r>
      <w:r>
        <w:rPr>
          <w:rFonts w:ascii="Times New Roman" w:hAnsi="Times New Roman" w:eastAsia="Times New Roman"/>
          <w:b/>
          <w:i w:val="0"/>
          <w:sz w:val="26"/>
        </w:rPr>
        <w:t>Khách hàng/người sử dụng thiết bị PCCC:</w:t>
      </w:r>
      <w:r>
        <w:rPr>
          <w:rFonts w:ascii="Times New Roman" w:hAnsi="Times New Roman" w:eastAsia="Times New Roman"/>
          <w:b w:val="0"/>
          <w:i w:val="0"/>
          <w:sz w:val="26"/>
        </w:rPr>
        <w:t xml:space="preserve"> hưởng lợi từ yêu cầu chất lượng chặt, nhưng giá và thời gian cung ứng có thể bị ảnh hưởng bởi thủ tục.</w:t>
      </w:r>
    </w:p>
    <w:p>
      <w:pPr>
        <w:spacing w:after="80" w:before="200" w:line="276" w:lineRule="auto"/>
      </w:pPr>
      <w:r>
        <w:rPr>
          <w:rFonts w:ascii="Times New Roman" w:hAnsi="Times New Roman" w:eastAsia="Times New Roman"/>
          <w:b/>
          <w:i w:val="0"/>
          <w:sz w:val="26"/>
        </w:rPr>
        <w:t>III.5. Các nhóm quy định chồng chéo, không còn phù hợp (điểm nhấn)</w:t>
      </w:r>
    </w:p>
    <w:p>
      <w:pPr>
        <w:spacing w:after="60" w:before="0" w:line="276" w:lineRule="auto"/>
        <w:ind w:firstLine="283"/>
        <w:jc w:val="both"/>
      </w:pPr>
      <w:r>
        <w:rPr>
          <w:rFonts w:ascii="Times New Roman" w:hAnsi="Times New Roman" w:eastAsia="Times New Roman"/>
          <w:b w:val="0"/>
          <w:i w:val="0"/>
          <w:sz w:val="26"/>
        </w:rPr>
        <w:t>1. Khái niệm và phạm vi hoạt động thương mại (khoản 1 Điều 3) quá rộng so với hệ thống luật chuyên ngành đã phát triển sau 2005[1].</w:t>
      </w:r>
    </w:p>
    <w:p>
      <w:pPr>
        <w:spacing w:after="60" w:before="0" w:line="276" w:lineRule="auto"/>
        <w:ind w:firstLine="283"/>
        <w:jc w:val="both"/>
      </w:pPr>
      <w:r>
        <w:rPr>
          <w:rFonts w:ascii="Times New Roman" w:hAnsi="Times New Roman" w:eastAsia="Times New Roman"/>
          <w:b w:val="0"/>
          <w:i w:val="0"/>
          <w:sz w:val="26"/>
        </w:rPr>
        <w:t>2. Mua bán hàng hóa quốc tế (Điều 27) cần phân định lại với Luật Quản lý ngoại thương[1][9].</w:t>
      </w:r>
    </w:p>
    <w:p>
      <w:pPr>
        <w:spacing w:after="60" w:before="0" w:line="276" w:lineRule="auto"/>
        <w:ind w:firstLine="283"/>
        <w:jc w:val="both"/>
      </w:pPr>
      <w:r>
        <w:rPr>
          <w:rFonts w:ascii="Times New Roman" w:hAnsi="Times New Roman" w:eastAsia="Times New Roman"/>
          <w:b w:val="0"/>
          <w:i w:val="0"/>
          <w:sz w:val="26"/>
        </w:rPr>
        <w:t>3. Xúc tiến thương mại chồng chéo với pháp luật quảng cáo và chính sách ngành.</w:t>
      </w:r>
    </w:p>
    <w:p>
      <w:pPr>
        <w:spacing w:after="60" w:before="0" w:line="276" w:lineRule="auto"/>
        <w:ind w:firstLine="283"/>
        <w:jc w:val="both"/>
      </w:pPr>
      <w:r>
        <w:rPr>
          <w:rFonts w:ascii="Times New Roman" w:hAnsi="Times New Roman" w:eastAsia="Times New Roman"/>
          <w:b w:val="0"/>
          <w:i w:val="0"/>
          <w:sz w:val="26"/>
        </w:rPr>
        <w:t>4. Trung gian thương mại chưa phản ánh chuỗi phân phối hiện đại.</w:t>
      </w:r>
    </w:p>
    <w:p>
      <w:pPr>
        <w:spacing w:after="60" w:before="0" w:line="276" w:lineRule="auto"/>
        <w:ind w:firstLine="283"/>
        <w:jc w:val="both"/>
      </w:pPr>
      <w:r>
        <w:rPr>
          <w:rFonts w:ascii="Times New Roman" w:hAnsi="Times New Roman" w:eastAsia="Times New Roman"/>
          <w:b w:val="0"/>
          <w:i w:val="0"/>
          <w:sz w:val="26"/>
        </w:rPr>
        <w:t>5. Logistics chưa đủ để tạo đột phá giảm chi phí xuất khẩu theo tinh thần Quyết định số 531/QĐ-TTg[16].</w:t>
      </w:r>
    </w:p>
    <w:p>
      <w:pPr>
        <w:spacing w:after="80" w:before="200" w:line="276" w:lineRule="auto"/>
      </w:pPr>
      <w:r>
        <w:rPr>
          <w:rFonts w:ascii="Times New Roman" w:hAnsi="Times New Roman" w:eastAsia="Times New Roman"/>
          <w:b/>
          <w:i w:val="0"/>
          <w:sz w:val="26"/>
        </w:rPr>
        <w:t>III.6. Vụ việc/tình huống điển hình (khung minh họa)</w:t>
      </w:r>
    </w:p>
    <w:p>
      <w:pPr>
        <w:spacing w:after="80" w:before="0" w:line="276" w:lineRule="auto"/>
        <w:ind w:firstLine="283"/>
        <w:jc w:val="both"/>
      </w:pPr>
      <w:r>
        <w:rPr>
          <w:rFonts w:ascii="Times New Roman" w:hAnsi="Times New Roman" w:eastAsia="Times New Roman"/>
          <w:b/>
          <w:i/>
          <w:sz w:val="24"/>
        </w:rPr>
        <w:t>Tình huống 1 – Chậm thanh toán hợp đồng gia công:</w:t>
      </w:r>
      <w:r>
        <w:rPr>
          <w:rFonts w:ascii="Times New Roman" w:hAnsi="Times New Roman" w:eastAsia="Times New Roman"/>
          <w:b w:val="0"/>
          <w:i/>
          <w:sz w:val="24"/>
        </w:rPr>
        <w:t xml:space="preserve"> Bên đặt hàng chậm thanh toán vượt quá thỏa thuận; chế tài phạt vi phạm theo Điều 300 Luật Thương mại năm 2005[1][17] được nêu trong hợp đồng nhưng việc theo đuổi tranh chấp tốn thời gian, ảnh hưởng dòng tiền sản xuất.</w:t>
      </w:r>
    </w:p>
    <w:p>
      <w:pPr>
        <w:spacing w:after="80" w:before="0" w:line="276" w:lineRule="auto"/>
        <w:ind w:firstLine="283"/>
        <w:jc w:val="both"/>
      </w:pPr>
      <w:r>
        <w:rPr>
          <w:rFonts w:ascii="Times New Roman" w:hAnsi="Times New Roman" w:eastAsia="Times New Roman"/>
          <w:b/>
          <w:i/>
          <w:sz w:val="24"/>
        </w:rPr>
        <w:t>Tình huống 2 – Vướng chứng từ FTA khi xuất khẩu:</w:t>
      </w:r>
      <w:r>
        <w:rPr>
          <w:rFonts w:ascii="Times New Roman" w:hAnsi="Times New Roman" w:eastAsia="Times New Roman"/>
          <w:b w:val="0"/>
          <w:i/>
          <w:sz w:val="24"/>
        </w:rPr>
        <w:t xml:space="preserve"> Lô hàng hộp sắt đa năng đủ điều kiện hưởng ưu đãi về bản chất sản xuất nhưng hồ sơ xuất xứ chưa khớp, dẫn tới mất ưu đãi thuế tại thị trường nhập khẩu.</w:t>
      </w:r>
    </w:p>
    <w:p>
      <w:pPr>
        <w:spacing w:after="80" w:before="0" w:line="276" w:lineRule="auto"/>
        <w:ind w:firstLine="283"/>
        <w:jc w:val="both"/>
      </w:pPr>
      <w:r>
        <w:rPr>
          <w:rFonts w:ascii="Times New Roman" w:hAnsi="Times New Roman" w:eastAsia="Times New Roman"/>
          <w:b/>
          <w:i/>
          <w:sz w:val="24"/>
        </w:rPr>
        <w:t>Tình huống 3 – Hợp đồng hỗn hợp gia công kèm vật tư:</w:t>
      </w:r>
      <w:r>
        <w:rPr>
          <w:rFonts w:ascii="Times New Roman" w:hAnsi="Times New Roman" w:eastAsia="Times New Roman"/>
          <w:b w:val="0"/>
          <w:i/>
          <w:sz w:val="24"/>
        </w:rPr>
        <w:t xml:space="preserve"> Khó xác định chế định áp dụng ưu tiên (gia công, dịch vụ hay mua bán), ảnh hưởng cách tính trách nhiệm giao hàng và bảo hành.</w:t>
      </w:r>
    </w:p>
    <w:p>
      <w:pPr>
        <w:spacing w:after="120" w:before="0" w:line="276" w:lineRule="auto"/>
        <w:ind w:firstLine="567"/>
        <w:jc w:val="both"/>
      </w:pPr>
      <w:r>
        <w:rPr>
          <w:rFonts w:ascii="Times New Roman" w:hAnsi="Times New Roman" w:eastAsia="Times New Roman"/>
          <w:b w:val="0"/>
          <w:i w:val="0"/>
          <w:sz w:val="26"/>
        </w:rPr>
        <w:t>*(Công ty bổ sung tình tiết thực tế, ẩn danh hóa đối tác khi cần.)*</w:t>
      </w:r>
    </w:p>
    <w:p>
      <w:pPr>
        <w:spacing w:after="80" w:before="200" w:line="276" w:lineRule="auto"/>
      </w:pPr>
      <w:r>
        <w:rPr>
          <w:rFonts w:ascii="Times New Roman" w:hAnsi="Times New Roman" w:eastAsia="Times New Roman"/>
          <w:b/>
          <w:i w:val="0"/>
          <w:sz w:val="26"/>
        </w:rPr>
        <w:t>III.7. Phân loại nguyên nhân</w:t>
      </w:r>
    </w:p>
    <w:p>
      <w:pPr>
        <w:spacing w:after="120" w:before="0" w:line="276" w:lineRule="auto"/>
        <w:ind w:firstLine="567"/>
        <w:jc w:val="both"/>
      </w:pPr>
      <w:r>
        <w:rPr>
          <w:rFonts w:ascii="Times New Roman" w:hAnsi="Times New Roman" w:eastAsia="Times New Roman"/>
          <w:b/>
          <w:i w:val="0"/>
          <w:sz w:val="26"/>
        </w:rPr>
        <w:t>a) Nguyên nhân từ quy định của Luật Thương mại</w:t>
      </w:r>
    </w:p>
    <w:p>
      <w:pPr>
        <w:pStyle w:val="ListBullet"/>
        <w:spacing w:after="60" w:line="276" w:lineRule="auto"/>
        <w:jc w:val="both"/>
      </w:pPr>
      <w:r>
        <w:rPr>
          <w:rFonts w:ascii="Times New Roman" w:hAnsi="Times New Roman" w:eastAsia="Times New Roman"/>
          <w:b w:val="0"/>
          <w:i w:val="0"/>
          <w:sz w:val="26"/>
        </w:rPr>
        <w:t>Một số chế định xây dựng từ bối cảnh trước 2006, chưa phản ánh thương mại số, xanh, chuỗi cung ứng.</w:t>
      </w:r>
    </w:p>
    <w:p>
      <w:pPr>
        <w:pStyle w:val="ListBullet"/>
        <w:spacing w:after="60" w:line="276" w:lineRule="auto"/>
        <w:jc w:val="both"/>
      </w:pPr>
      <w:r>
        <w:rPr>
          <w:rFonts w:ascii="Times New Roman" w:hAnsi="Times New Roman" w:eastAsia="Times New Roman"/>
          <w:b w:val="0"/>
          <w:i w:val="0"/>
          <w:sz w:val="26"/>
        </w:rPr>
        <w:t>Phạm vi rộng, giao thoa nhiều luật mới.</w:t>
      </w:r>
    </w:p>
    <w:p>
      <w:pPr>
        <w:spacing w:after="120" w:before="0" w:line="276" w:lineRule="auto"/>
        <w:ind w:firstLine="567"/>
        <w:jc w:val="both"/>
      </w:pPr>
      <w:r>
        <w:rPr>
          <w:rFonts w:ascii="Times New Roman" w:hAnsi="Times New Roman" w:eastAsia="Times New Roman"/>
          <w:b/>
          <w:i w:val="0"/>
          <w:sz w:val="26"/>
        </w:rPr>
        <w:t>b) Nguyên nhân từ văn bản quy định chi tiết, hướng dẫn thi hành</w:t>
      </w:r>
    </w:p>
    <w:p>
      <w:pPr>
        <w:pStyle w:val="ListBullet"/>
        <w:spacing w:after="60" w:line="276" w:lineRule="auto"/>
        <w:jc w:val="both"/>
      </w:pPr>
      <w:r>
        <w:rPr>
          <w:rFonts w:ascii="Times New Roman" w:hAnsi="Times New Roman" w:eastAsia="Times New Roman"/>
          <w:b w:val="0"/>
          <w:i w:val="0"/>
          <w:sz w:val="26"/>
        </w:rPr>
        <w:t>Nhiều nội dung được cụ thể hóa ở nghị định chuyên ngành khác nhau; doanh nghiệp phải tự “ráp” hệ thống.</w:t>
      </w:r>
    </w:p>
    <w:p>
      <w:pPr>
        <w:pStyle w:val="ListBullet"/>
        <w:spacing w:after="60" w:line="276" w:lineRule="auto"/>
        <w:jc w:val="both"/>
      </w:pPr>
      <w:r>
        <w:rPr>
          <w:rFonts w:ascii="Times New Roman" w:hAnsi="Times New Roman" w:eastAsia="Times New Roman"/>
          <w:b w:val="0"/>
          <w:i w:val="0"/>
          <w:sz w:val="26"/>
        </w:rPr>
        <w:t>Việc sửa đổi, bổ sung nghị định về xúc tiến thương mại, khuyến mại, XNK diễn ra qua nhiều giai đoạn, dễ gây đứt gãy tra cứu.</w:t>
      </w:r>
    </w:p>
    <w:p>
      <w:pPr>
        <w:spacing w:after="120" w:before="0" w:line="276" w:lineRule="auto"/>
        <w:ind w:firstLine="567"/>
        <w:jc w:val="both"/>
      </w:pPr>
      <w:r>
        <w:rPr>
          <w:rFonts w:ascii="Times New Roman" w:hAnsi="Times New Roman" w:eastAsia="Times New Roman"/>
          <w:b/>
          <w:i w:val="0"/>
          <w:sz w:val="26"/>
        </w:rPr>
        <w:t>c) Nguyên nhân từ tổ chức thực hiện / phối hợp cơ quan</w:t>
      </w:r>
    </w:p>
    <w:p>
      <w:pPr>
        <w:pStyle w:val="ListBullet"/>
        <w:spacing w:after="60" w:line="276" w:lineRule="auto"/>
        <w:jc w:val="both"/>
      </w:pPr>
      <w:r>
        <w:rPr>
          <w:rFonts w:ascii="Times New Roman" w:hAnsi="Times New Roman" w:eastAsia="Times New Roman"/>
          <w:b w:val="0"/>
          <w:i w:val="0"/>
          <w:sz w:val="26"/>
        </w:rPr>
        <w:t>Phối hợp giữa cơ quan quản lý thương mại, hải quan, PCCC và cơ quan quốc phòng chưa thật sự theo cơ chế một cửa đối với DN lưỡng dụng.</w:t>
      </w:r>
    </w:p>
    <w:p>
      <w:pPr>
        <w:pStyle w:val="ListBullet"/>
        <w:spacing w:after="60" w:line="276" w:lineRule="auto"/>
        <w:jc w:val="both"/>
      </w:pPr>
      <w:r>
        <w:rPr>
          <w:rFonts w:ascii="Times New Roman" w:hAnsi="Times New Roman" w:eastAsia="Times New Roman"/>
          <w:b w:val="0"/>
          <w:i w:val="0"/>
          <w:sz w:val="26"/>
        </w:rPr>
        <w:t>Công tác hướng dẫn riêng cho cộng đồng DN quốc phòng tham gia xuất khẩu dân sự còn hạn chế.</w:t>
      </w:r>
    </w:p>
    <w:p>
      <w:pPr>
        <w:spacing w:after="120" w:before="0" w:line="276" w:lineRule="auto"/>
        <w:ind w:firstLine="567"/>
        <w:jc w:val="both"/>
      </w:pPr>
      <w:r>
        <w:rPr>
          <w:rFonts w:ascii="Times New Roman" w:hAnsi="Times New Roman" w:eastAsia="Times New Roman"/>
          <w:b/>
          <w:i w:val="0"/>
          <w:sz w:val="26"/>
        </w:rPr>
        <w:t>d) Nguyên nhân từ điều kiện thực tiễn, nguồn lực, yếu tố khách quan</w:t>
      </w:r>
    </w:p>
    <w:p>
      <w:pPr>
        <w:pStyle w:val="ListBullet"/>
        <w:spacing w:after="60" w:line="276" w:lineRule="auto"/>
        <w:jc w:val="both"/>
      </w:pPr>
      <w:r>
        <w:rPr>
          <w:rFonts w:ascii="Times New Roman" w:hAnsi="Times New Roman" w:eastAsia="Times New Roman"/>
          <w:b w:val="0"/>
          <w:i w:val="0"/>
          <w:sz w:val="26"/>
        </w:rPr>
        <w:t>Đặc thù bảo mật, quy trình phê duyệt nội bộ kéo dài;</w:t>
      </w:r>
    </w:p>
    <w:p>
      <w:pPr>
        <w:pStyle w:val="ListBullet"/>
        <w:spacing w:after="60" w:line="276" w:lineRule="auto"/>
        <w:jc w:val="both"/>
      </w:pPr>
      <w:r>
        <w:rPr>
          <w:rFonts w:ascii="Times New Roman" w:hAnsi="Times New Roman" w:eastAsia="Times New Roman"/>
          <w:b w:val="0"/>
          <w:i w:val="0"/>
          <w:sz w:val="26"/>
        </w:rPr>
        <w:t>Biến động thị trường quốc tế, chi phí logistics, yêu cầu tiêu chuẩn nước ngoài;</w:t>
      </w:r>
    </w:p>
    <w:p>
      <w:pPr>
        <w:pStyle w:val="ListBullet"/>
        <w:spacing w:after="60" w:line="276" w:lineRule="auto"/>
        <w:jc w:val="both"/>
      </w:pPr>
      <w:r>
        <w:rPr>
          <w:rFonts w:ascii="Times New Roman" w:hAnsi="Times New Roman" w:eastAsia="Times New Roman"/>
          <w:b w:val="0"/>
          <w:i w:val="0"/>
          <w:sz w:val="26"/>
        </w:rPr>
        <w:t>Hạn chế nhân lực pháp chế sâu về hợp đồng quốc tế và trọng tài.</w:t>
      </w:r>
    </w:p>
    <w:p>
      <w:pPr>
        <w:spacing w:after="120" w:before="200" w:line="276" w:lineRule="auto"/>
        <w:jc w:val="center"/>
      </w:pPr>
      <w:r>
        <w:rPr>
          <w:rFonts w:ascii="Times New Roman" w:hAnsi="Times New Roman" w:eastAsia="Times New Roman"/>
          <w:b/>
          <w:i w:val="0"/>
          <w:sz w:val="28"/>
        </w:rPr>
        <w:t>IV. XÁC ĐỊNH CÁC VẤN ĐỀ MỚI PHÁT SINH</w:t>
      </w:r>
    </w:p>
    <w:p>
      <w:pPr>
        <w:spacing w:after="80" w:before="200" w:line="276" w:lineRule="auto"/>
      </w:pPr>
      <w:r>
        <w:rPr>
          <w:rFonts w:ascii="Times New Roman" w:hAnsi="Times New Roman" w:eastAsia="Times New Roman"/>
          <w:b/>
          <w:i w:val="0"/>
          <w:sz w:val="26"/>
        </w:rPr>
        <w:t>IV.1. Thương mại số, hợp đồng điện tử, hợp đồng thông minh</w:t>
      </w:r>
    </w:p>
    <w:p>
      <w:pPr>
        <w:spacing w:after="60" w:before="0" w:line="276" w:lineRule="auto"/>
      </w:pPr>
      <w:r>
        <w:rPr>
          <w:rFonts w:ascii="Times New Roman" w:hAnsi="Times New Roman" w:eastAsia="Times New Roman"/>
          <w:b/>
          <w:i w:val="0"/>
          <w:sz w:val="26"/>
        </w:rPr>
        <w:t>Bản chất:</w:t>
      </w:r>
      <w:r>
        <w:rPr>
          <w:rFonts w:ascii="Times New Roman" w:hAnsi="Times New Roman" w:eastAsia="Times New Roman"/>
          <w:b w:val="0"/>
          <w:i w:val="0"/>
          <w:sz w:val="26"/>
        </w:rPr>
        <w:t xml:space="preserve"> Giao kết và thực hiện hợp đồng qua phương tiện điện tử ngày càng phổ biến trong mua bán vật tư, giao dịch với đại lý/khách hàng.</w:t>
      </w:r>
    </w:p>
    <w:p>
      <w:pPr>
        <w:spacing w:after="60" w:before="0" w:line="276" w:lineRule="auto"/>
      </w:pPr>
      <w:r>
        <w:rPr>
          <w:rFonts w:ascii="Times New Roman" w:hAnsi="Times New Roman" w:eastAsia="Times New Roman"/>
          <w:b/>
          <w:i w:val="0"/>
          <w:sz w:val="26"/>
        </w:rPr>
        <w:t>Khoảng trống:</w:t>
      </w:r>
      <w:r>
        <w:rPr>
          <w:rFonts w:ascii="Times New Roman" w:hAnsi="Times New Roman" w:eastAsia="Times New Roman"/>
          <w:b w:val="0"/>
          <w:i w:val="0"/>
          <w:sz w:val="26"/>
        </w:rPr>
        <w:t xml:space="preserve"> Luật Thương mại năm 2005 chưa có chương riêng về thương mại số; các vấn đề hình thức hợp đồng điện tử, giá trị pháp lý của thông điệp dữ liệu được điều chỉnh chủ yếu bởi Luật Giao dịch điện tử số 20/2023/QH15 và pháp luật dân sự[6][21]. Hợp đồng thông minh (smart contract) gần như chưa có khung thương mại chuyên biệt.</w:t>
      </w:r>
    </w:p>
    <w:p>
      <w:pPr>
        <w:spacing w:after="60" w:before="0" w:line="276" w:lineRule="auto"/>
      </w:pPr>
      <w:r>
        <w:rPr>
          <w:rFonts w:ascii="Times New Roman" w:hAnsi="Times New Roman" w:eastAsia="Times New Roman"/>
          <w:b/>
          <w:i w:val="0"/>
          <w:sz w:val="26"/>
        </w:rPr>
        <w:t>Tác động:</w:t>
      </w:r>
      <w:r>
        <w:rPr>
          <w:rFonts w:ascii="Times New Roman" w:hAnsi="Times New Roman" w:eastAsia="Times New Roman"/>
          <w:b w:val="0"/>
          <w:i w:val="0"/>
          <w:sz w:val="26"/>
        </w:rPr>
        <w:t xml:space="preserve"> Rủi ro về chứng minh giao kết, xác thực người đại diện, lưu trữ chứng từ khi thanh tra/kiểm toán hoặc tranh chấp.</w:t>
      </w:r>
    </w:p>
    <w:p>
      <w:pPr>
        <w:spacing w:after="60" w:before="0" w:line="276" w:lineRule="auto"/>
      </w:pPr>
      <w:r>
        <w:rPr>
          <w:rFonts w:ascii="Times New Roman" w:hAnsi="Times New Roman" w:eastAsia="Times New Roman"/>
          <w:b/>
          <w:i w:val="0"/>
          <w:sz w:val="26"/>
        </w:rPr>
        <w:t>Nhu cầu hoàn thiện:</w:t>
      </w:r>
      <w:r>
        <w:rPr>
          <w:rFonts w:ascii="Times New Roman" w:hAnsi="Times New Roman" w:eastAsia="Times New Roman"/>
          <w:b w:val="0"/>
          <w:i w:val="0"/>
          <w:sz w:val="26"/>
        </w:rPr>
        <w:t xml:space="preserve"> Bổ sung chế định thương mại điện tử/thương mại số trong Luật Thương mại mới (hoặc luật chuyên ngành) theo hướng đồng bộ Luật Giao dịch điện tử năm 2023.</w:t>
      </w:r>
    </w:p>
    <w:p>
      <w:pPr>
        <w:spacing w:after="80" w:before="200" w:line="276" w:lineRule="auto"/>
      </w:pPr>
      <w:r>
        <w:rPr>
          <w:rFonts w:ascii="Times New Roman" w:hAnsi="Times New Roman" w:eastAsia="Times New Roman"/>
          <w:b/>
          <w:i w:val="0"/>
          <w:sz w:val="26"/>
        </w:rPr>
        <w:t>IV.2. Thương mại xanh và “làn xanh” thương mại</w:t>
      </w:r>
    </w:p>
    <w:p>
      <w:pPr>
        <w:spacing w:after="60" w:before="0" w:line="276" w:lineRule="auto"/>
      </w:pPr>
      <w:r>
        <w:rPr>
          <w:rFonts w:ascii="Times New Roman" w:hAnsi="Times New Roman" w:eastAsia="Times New Roman"/>
          <w:b/>
          <w:i w:val="0"/>
          <w:sz w:val="26"/>
        </w:rPr>
        <w:t>Bản chất:</w:t>
      </w:r>
      <w:r>
        <w:rPr>
          <w:rFonts w:ascii="Times New Roman" w:hAnsi="Times New Roman" w:eastAsia="Times New Roman"/>
          <w:b w:val="0"/>
          <w:i w:val="0"/>
          <w:sz w:val="26"/>
        </w:rPr>
        <w:t xml:space="preserve"> Thị trường xuất khẩu ngày càng yêu cầu tiêu chuẩn môi trường, dấu vết carbon, vật liệu an toàn; trong nước có định hướng tăng trưởng xanh.</w:t>
      </w:r>
    </w:p>
    <w:p>
      <w:pPr>
        <w:spacing w:after="60" w:before="0" w:line="276" w:lineRule="auto"/>
      </w:pPr>
      <w:r>
        <w:rPr>
          <w:rFonts w:ascii="Times New Roman" w:hAnsi="Times New Roman" w:eastAsia="Times New Roman"/>
          <w:b/>
          <w:i w:val="0"/>
          <w:sz w:val="26"/>
        </w:rPr>
        <w:t>Khoảng trống:</w:t>
      </w:r>
      <w:r>
        <w:rPr>
          <w:rFonts w:ascii="Times New Roman" w:hAnsi="Times New Roman" w:eastAsia="Times New Roman"/>
          <w:b w:val="0"/>
          <w:i w:val="0"/>
          <w:sz w:val="26"/>
        </w:rPr>
        <w:t xml:space="preserve"> Luật Thương mại chưa thể chế hóa đầy đủ tiêu chí ưu tiên/thuận lợi hóa cho hàng hóa – dịch vụ đáp ứng chuẩn xanh.</w:t>
      </w:r>
    </w:p>
    <w:p>
      <w:pPr>
        <w:spacing w:after="60" w:before="0" w:line="276" w:lineRule="auto"/>
      </w:pPr>
      <w:r>
        <w:rPr>
          <w:rFonts w:ascii="Times New Roman" w:hAnsi="Times New Roman" w:eastAsia="Times New Roman"/>
          <w:b/>
          <w:i w:val="0"/>
          <w:sz w:val="26"/>
        </w:rPr>
        <w:t>Tác động tới Công ty:</w:t>
      </w:r>
      <w:r>
        <w:rPr>
          <w:rFonts w:ascii="Times New Roman" w:hAnsi="Times New Roman" w:eastAsia="Times New Roman"/>
          <w:b w:val="0"/>
          <w:i w:val="0"/>
          <w:sz w:val="26"/>
        </w:rPr>
        <w:t xml:space="preserve"> Chi phí chuyển đổi quy trình cơ khí, bao bì, chứng nhận; rủi ro mất đơn hàng xuất khẩu nếu chậm thích ứng.</w:t>
      </w:r>
    </w:p>
    <w:p>
      <w:pPr>
        <w:spacing w:after="80" w:before="200" w:line="276" w:lineRule="auto"/>
      </w:pPr>
      <w:r>
        <w:rPr>
          <w:rFonts w:ascii="Times New Roman" w:hAnsi="Times New Roman" w:eastAsia="Times New Roman"/>
          <w:b/>
          <w:i w:val="0"/>
          <w:sz w:val="26"/>
        </w:rPr>
        <w:t>IV.3. Logistics và hạ tầng thương mại</w:t>
      </w:r>
    </w:p>
    <w:p>
      <w:pPr>
        <w:spacing w:after="120" w:before="0" w:line="276" w:lineRule="auto"/>
        <w:ind w:firstLine="567"/>
        <w:jc w:val="both"/>
      </w:pPr>
      <w:r>
        <w:rPr>
          <w:rFonts w:ascii="Times New Roman" w:hAnsi="Times New Roman" w:eastAsia="Times New Roman"/>
          <w:b w:val="0"/>
          <w:i w:val="0"/>
          <w:sz w:val="26"/>
        </w:rPr>
        <w:t>Theo Điều 233 Luật Thương mại năm 2005 và định hướng tại Phụ lục II gắn Quyết định số 531/QĐ-TTg[1][15][16], cần hoàn thiện cơ sở pháp lý cho dịch vụ logistics, vận tải, chuỗi phân phối. Thực tiễn xuất khẩu hộp sắt đa năng cho thấy logistics là yếu tố quyết định thời gian giao hàng và giá thành CIF/FOB.</w:t>
      </w:r>
    </w:p>
    <w:p>
      <w:pPr>
        <w:spacing w:after="80" w:before="200" w:line="276" w:lineRule="auto"/>
      </w:pPr>
      <w:r>
        <w:rPr>
          <w:rFonts w:ascii="Times New Roman" w:hAnsi="Times New Roman" w:eastAsia="Times New Roman"/>
          <w:b/>
          <w:i w:val="0"/>
          <w:sz w:val="26"/>
        </w:rPr>
        <w:t>IV.4. Mô hình kinh doanh mới liên quan Công ty</w:t>
      </w:r>
    </w:p>
    <w:p>
      <w:pPr>
        <w:pStyle w:val="ListBullet"/>
        <w:spacing w:after="60" w:line="276" w:lineRule="auto"/>
        <w:jc w:val="both"/>
      </w:pPr>
      <w:r>
        <w:rPr>
          <w:rFonts w:ascii="Times New Roman" w:hAnsi="Times New Roman" w:eastAsia="Times New Roman"/>
          <w:b w:val="0"/>
          <w:i w:val="0"/>
          <w:sz w:val="26"/>
        </w:rPr>
        <w:t>Gói giải pháp “gia công + thiết kế + bảo trì” (hybrid contract);</w:t>
      </w:r>
    </w:p>
    <w:p>
      <w:pPr>
        <w:pStyle w:val="ListBullet"/>
        <w:spacing w:after="60" w:line="276" w:lineRule="auto"/>
        <w:jc w:val="both"/>
      </w:pPr>
      <w:r>
        <w:rPr>
          <w:rFonts w:ascii="Times New Roman" w:hAnsi="Times New Roman" w:eastAsia="Times New Roman"/>
          <w:b w:val="0"/>
          <w:i w:val="0"/>
          <w:sz w:val="26"/>
        </w:rPr>
        <w:t>Phân phối thiết bị PCCC đa kênh;</w:t>
      </w:r>
    </w:p>
    <w:p>
      <w:pPr>
        <w:pStyle w:val="ListBullet"/>
        <w:spacing w:after="60" w:line="276" w:lineRule="auto"/>
        <w:jc w:val="both"/>
      </w:pPr>
      <w:r>
        <w:rPr>
          <w:rFonts w:ascii="Times New Roman" w:hAnsi="Times New Roman" w:eastAsia="Times New Roman"/>
          <w:b w:val="0"/>
          <w:i w:val="0"/>
          <w:sz w:val="26"/>
        </w:rPr>
        <w:t>Xuất khẩu thông qua đại lý nước ngoài/tổ chức hỗ trợ DN Việt Nam tại nước ngoài (nhu cầu thực tế theo gợi ý Phụ lục II).</w:t>
      </w:r>
    </w:p>
    <w:p>
      <w:pPr>
        <w:spacing w:after="80" w:before="200" w:line="276" w:lineRule="auto"/>
      </w:pPr>
      <w:r>
        <w:rPr>
          <w:rFonts w:ascii="Times New Roman" w:hAnsi="Times New Roman" w:eastAsia="Times New Roman"/>
          <w:b/>
          <w:i w:val="0"/>
          <w:sz w:val="26"/>
        </w:rPr>
        <w:t>IV.5. Đặc thù doanh nghiệp công nghiệp quốc phòng</w:t>
      </w:r>
    </w:p>
    <w:p>
      <w:pPr>
        <w:spacing w:after="60" w:before="0" w:line="276" w:lineRule="auto"/>
      </w:pPr>
      <w:r>
        <w:rPr>
          <w:rFonts w:ascii="Times New Roman" w:hAnsi="Times New Roman" w:eastAsia="Times New Roman"/>
          <w:b/>
          <w:i w:val="0"/>
          <w:sz w:val="26"/>
        </w:rPr>
        <w:t>Vấn đề mới/then chốt:</w:t>
      </w:r>
      <w:r>
        <w:rPr>
          <w:rFonts w:ascii="Times New Roman" w:hAnsi="Times New Roman" w:eastAsia="Times New Roman"/>
          <w:b w:val="0"/>
          <w:i w:val="0"/>
          <w:sz w:val="26"/>
        </w:rPr>
        <w:t xml:space="preserve"> Ranh giới pháp lý giữa hoạt động thương mại dân sự và nhiệm vụ quốc phòng; kiểm soát hàng hóa, công nghệ lưỡng dụng khi gia công/xuất khẩu; thẩm quyền quyết định giao dịch của DNNN quốc phòng.</w:t>
      </w:r>
    </w:p>
    <w:p>
      <w:pPr>
        <w:spacing w:after="60" w:before="0" w:line="276" w:lineRule="auto"/>
      </w:pPr>
      <w:r>
        <w:rPr>
          <w:rFonts w:ascii="Times New Roman" w:hAnsi="Times New Roman" w:eastAsia="Times New Roman"/>
          <w:b/>
          <w:i w:val="0"/>
          <w:sz w:val="26"/>
        </w:rPr>
        <w:t>Nhu cầu:</w:t>
      </w:r>
      <w:r>
        <w:rPr>
          <w:rFonts w:ascii="Times New Roman" w:hAnsi="Times New Roman" w:eastAsia="Times New Roman"/>
          <w:b w:val="0"/>
          <w:i w:val="0"/>
          <w:sz w:val="26"/>
        </w:rPr>
        <w:t xml:space="preserve"> Có quy định hoặc hướng dẫn giao thoa rõ ràng giữa pháp luật thương mại và pháp luật công nghiệp quốc phòng, tránh khoảng trống hoặc chồng chéo thủ tục.</w:t>
      </w:r>
    </w:p>
    <w:p>
      <w:pPr>
        <w:spacing w:after="80" w:before="200" w:line="276" w:lineRule="auto"/>
      </w:pPr>
      <w:r>
        <w:rPr>
          <w:rFonts w:ascii="Times New Roman" w:hAnsi="Times New Roman" w:eastAsia="Times New Roman"/>
          <w:b/>
          <w:i w:val="0"/>
          <w:sz w:val="26"/>
        </w:rPr>
        <w:t>IV.6. Thể chế hóa chủ trương của Đảng và yêu cầu phát triển KTXH</w:t>
      </w:r>
    </w:p>
    <w:p>
      <w:pPr>
        <w:spacing w:after="120" w:before="0" w:line="276" w:lineRule="auto"/>
        <w:ind w:firstLine="567"/>
        <w:jc w:val="both"/>
      </w:pPr>
      <w:r>
        <w:rPr>
          <w:rFonts w:ascii="Times New Roman" w:hAnsi="Times New Roman" w:eastAsia="Times New Roman"/>
          <w:b w:val="0"/>
          <w:i w:val="0"/>
          <w:sz w:val="26"/>
        </w:rPr>
        <w:t>Các chủ trương về hoàn thiện thể chế kinh tế thị trường định hướng XHCN, cải cách tư pháp kinh tế, hỗ trợ doanh nghiệp, phát triển logistics, chuyển đổi số, tăng trưởng xanh (trong đó có các nghị quyết nêu tại Phụ lục II như Nghị quyết số 66-NQ/TW, Nghị quyết số 68-NQ/TW, Nghị quyết số 138/NQ-CP ngày 16/5/2025)[19] chưa được thể hiện đầy đủ trong cấu trúc Luật Thương mại 2005. Đây là căn cứ chính trị – pháp lý để kiến nghị xây dựng Luật Thương mại mới hoặc sửa đổi toàn diện.</w:t>
      </w:r>
    </w:p>
    <w:p>
      <w:pPr>
        <w:spacing w:after="120" w:before="200" w:line="276" w:lineRule="auto"/>
        <w:jc w:val="center"/>
      </w:pPr>
      <w:r>
        <w:rPr>
          <w:rFonts w:ascii="Times New Roman" w:hAnsi="Times New Roman" w:eastAsia="Times New Roman"/>
          <w:b/>
          <w:i w:val="0"/>
          <w:sz w:val="28"/>
        </w:rPr>
        <w:t>V. KIẾN NGHỊ, ĐỀ XUẤT</w:t>
      </w:r>
    </w:p>
    <w:p>
      <w:pPr>
        <w:spacing w:after="80" w:before="200" w:line="276" w:lineRule="auto"/>
      </w:pPr>
      <w:r>
        <w:rPr>
          <w:rFonts w:ascii="Times New Roman" w:hAnsi="Times New Roman" w:eastAsia="Times New Roman"/>
          <w:b/>
          <w:i w:val="0"/>
          <w:sz w:val="26"/>
        </w:rPr>
        <w:t>V.1. Lựa chọn phương án hoàn thiện hệ thống pháp luật về thương mại</w:t>
      </w:r>
    </w:p>
    <w:p>
      <w:pPr>
        <w:spacing w:after="120" w:before="0" w:line="276" w:lineRule="auto"/>
        <w:ind w:firstLine="567"/>
        <w:jc w:val="both"/>
      </w:pPr>
      <w:r>
        <w:rPr>
          <w:rFonts w:ascii="Times New Roman" w:hAnsi="Times New Roman" w:eastAsia="Times New Roman"/>
          <w:b w:val="0"/>
          <w:i w:val="0"/>
          <w:sz w:val="26"/>
        </w:rPr>
        <w:t>Trên cơ sở đánh giá Mục II, III, IV, Công ty kính đề xuất ưu tiên:</w:t>
      </w:r>
    </w:p>
    <w:p>
      <w:pPr>
        <w:spacing w:after="80" w:before="0" w:line="276" w:lineRule="auto"/>
        <w:ind w:firstLine="283"/>
        <w:jc w:val="both"/>
      </w:pPr>
      <w:r>
        <w:rPr>
          <w:rFonts w:ascii="Times New Roman" w:hAnsi="Times New Roman" w:eastAsia="Times New Roman"/>
          <w:b/>
          <w:i/>
          <w:sz w:val="24"/>
        </w:rPr>
        <w:t>Phương án kiến nghị: Ban hành Luật Thương mại mới thay thế Luật Thương mại năm 2005</w:t>
      </w:r>
    </w:p>
    <w:p>
      <w:pPr>
        <w:spacing w:after="80" w:before="0" w:line="276" w:lineRule="auto"/>
        <w:ind w:firstLine="283"/>
        <w:jc w:val="both"/>
      </w:pPr>
      <w:r>
        <w:rPr>
          <w:rFonts w:ascii="Times New Roman" w:hAnsi="Times New Roman" w:eastAsia="Times New Roman"/>
          <w:b w:val="0"/>
          <w:i/>
          <w:sz w:val="24"/>
        </w:rPr>
        <w:t>*(Phương án 4 theo Phụ lục I)*</w:t>
      </w:r>
    </w:p>
    <w:p>
      <w:pPr>
        <w:spacing w:after="80" w:before="0" w:line="276" w:lineRule="auto"/>
        <w:ind w:firstLine="283"/>
        <w:jc w:val="both"/>
      </w:pPr>
      <w:r>
        <w:rPr>
          <w:rFonts w:ascii="Times New Roman" w:hAnsi="Times New Roman" w:eastAsia="Times New Roman"/>
          <w:b w:val="0"/>
          <w:i/>
          <w:sz w:val="24"/>
        </w:rPr>
        <w:t>đồng thời rà soát chuyển một số chế định đã được luật hóa đầy đủ ở luật chuyên ngành (đặc biệt quản lý ngoại thương, một phần xúc tiến chuyên ngành) nhằm bảo đảm không trùng lắp.</w:t>
      </w:r>
    </w:p>
    <w:p>
      <w:pPr>
        <w:spacing w:after="60" w:before="160" w:line="276" w:lineRule="auto"/>
      </w:pPr>
      <w:r>
        <w:rPr>
          <w:rFonts w:ascii="Times New Roman" w:hAnsi="Times New Roman" w:eastAsia="Times New Roman"/>
          <w:b/>
          <w:i w:val="0"/>
          <w:sz w:val="26"/>
        </w:rPr>
        <w:t>Lý do lựa chọn</w:t>
      </w:r>
    </w:p>
    <w:p>
      <w:pPr>
        <w:spacing w:after="60" w:before="0" w:line="276" w:lineRule="auto"/>
        <w:ind w:firstLine="283"/>
        <w:jc w:val="both"/>
      </w:pPr>
      <w:r>
        <w:rPr>
          <w:rFonts w:ascii="Times New Roman" w:hAnsi="Times New Roman" w:eastAsia="Times New Roman"/>
          <w:b w:val="0"/>
          <w:i w:val="0"/>
          <w:sz w:val="26"/>
        </w:rPr>
        <w:t>1. Luật năm 2005 đã hoàn thành sứ mệnh lịch sử nhưng kết cấu và ngôn ngữ pháp lý không còn phù hợp đầy đủ với thương mại số, xanh, FTA thế hệ mới.</w:t>
      </w:r>
    </w:p>
    <w:p>
      <w:pPr>
        <w:spacing w:after="60" w:before="0" w:line="276" w:lineRule="auto"/>
        <w:ind w:firstLine="283"/>
        <w:jc w:val="both"/>
      </w:pPr>
      <w:r>
        <w:rPr>
          <w:rFonts w:ascii="Times New Roman" w:hAnsi="Times New Roman" w:eastAsia="Times New Roman"/>
          <w:b w:val="0"/>
          <w:i w:val="0"/>
          <w:sz w:val="26"/>
        </w:rPr>
        <w:t>2. Việc chỉ “sửa đổi, bổ sung một số điều” khó xử lý căn bản tình trạng giao thoa với Bộ luật Dân sự, Luật Quản lý ngoại thương, Luật Đầu tư, Luật Doanh nghiệp.</w:t>
      </w:r>
    </w:p>
    <w:p>
      <w:pPr>
        <w:spacing w:after="60" w:before="0" w:line="276" w:lineRule="auto"/>
        <w:ind w:firstLine="283"/>
        <w:jc w:val="both"/>
      </w:pPr>
      <w:r>
        <w:rPr>
          <w:rFonts w:ascii="Times New Roman" w:hAnsi="Times New Roman" w:eastAsia="Times New Roman"/>
          <w:b w:val="0"/>
          <w:i w:val="0"/>
          <w:sz w:val="26"/>
        </w:rPr>
        <w:t>3. Việc bãi bỏ toàn bộ mà không có luật thay thế đồng bộ có thể tạo khoảng trống với hợp đồng thương mại, xúc tiến, trung gian, gia công, logistics và chế tài thương mại – ảnh hưởng trực tiếp doanh nghiệp.</w:t>
      </w:r>
    </w:p>
    <w:p>
      <w:pPr>
        <w:spacing w:after="60" w:before="160" w:line="276" w:lineRule="auto"/>
      </w:pPr>
      <w:r>
        <w:rPr>
          <w:rFonts w:ascii="Times New Roman" w:hAnsi="Times New Roman" w:eastAsia="Times New Roman"/>
          <w:b/>
          <w:i w:val="0"/>
          <w:sz w:val="26"/>
        </w:rPr>
        <w:t>Đánh giá ngắn các phương án khác</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D9E2F3" w:val="clear"/>
          </w:tcPr>
          <w:p>
            <w:pPr>
              <w:jc w:val="left"/>
            </w:pPr>
            <w:r/>
            <w:r>
              <w:rPr>
                <w:rFonts w:ascii="Times New Roman" w:hAnsi="Times New Roman" w:eastAsia="Times New Roman"/>
                <w:b/>
                <w:i w:val="0"/>
                <w:sz w:val="22"/>
              </w:rPr>
              <w:t>Phương án</w:t>
            </w:r>
          </w:p>
        </w:tc>
        <w:tc>
          <w:tcPr>
            <w:tcW w:type="dxa" w:w="2268"/>
            <w:shd w:fill="D9E2F3" w:val="clear"/>
          </w:tcPr>
          <w:p>
            <w:pPr>
              <w:jc w:val="left"/>
            </w:pPr>
            <w:r/>
            <w:r>
              <w:rPr>
                <w:rFonts w:ascii="Times New Roman" w:hAnsi="Times New Roman" w:eastAsia="Times New Roman"/>
                <w:b/>
                <w:i w:val="0"/>
                <w:sz w:val="22"/>
              </w:rPr>
              <w:t>Ưu điểm</w:t>
            </w:r>
          </w:p>
        </w:tc>
        <w:tc>
          <w:tcPr>
            <w:tcW w:type="dxa" w:w="2268"/>
            <w:shd w:fill="D9E2F3" w:val="clear"/>
          </w:tcPr>
          <w:p>
            <w:pPr>
              <w:jc w:val="left"/>
            </w:pPr>
            <w:r/>
            <w:r>
              <w:rPr>
                <w:rFonts w:ascii="Times New Roman" w:hAnsi="Times New Roman" w:eastAsia="Times New Roman"/>
                <w:b/>
                <w:i w:val="0"/>
                <w:sz w:val="22"/>
              </w:rPr>
              <w:t>Nhược điểm</w:t>
            </w:r>
          </w:p>
        </w:tc>
        <w:tc>
          <w:tcPr>
            <w:tcW w:type="dxa" w:w="2268"/>
            <w:shd w:fill="D9E2F3" w:val="clear"/>
          </w:tcPr>
          <w:p>
            <w:pPr>
              <w:jc w:val="left"/>
            </w:pPr>
            <w:r/>
            <w:r>
              <w:rPr>
                <w:rFonts w:ascii="Times New Roman" w:hAnsi="Times New Roman" w:eastAsia="Times New Roman"/>
                <w:b/>
                <w:i w:val="0"/>
                <w:sz w:val="22"/>
              </w:rPr>
              <w:t>Kết luận</w:t>
            </w:r>
          </w:p>
        </w:tc>
      </w:tr>
      <w:tr>
        <w:tc>
          <w:tcPr>
            <w:tcW w:type="dxa" w:w="2268"/>
          </w:tcPr>
          <w:p>
            <w:pPr>
              <w:jc w:val="left"/>
            </w:pPr>
            <w:r/>
            <w:r>
              <w:rPr>
                <w:rFonts w:ascii="Times New Roman" w:hAnsi="Times New Roman" w:eastAsia="Times New Roman"/>
                <w:b w:val="0"/>
                <w:i w:val="0"/>
                <w:sz w:val="22"/>
              </w:rPr>
              <w:t>Bãi bỏ toàn bộ, chuyển sang luật hiện hành/luật mới chuyên đề</w:t>
            </w:r>
          </w:p>
        </w:tc>
        <w:tc>
          <w:tcPr>
            <w:tcW w:type="dxa" w:w="2268"/>
          </w:tcPr>
          <w:p>
            <w:pPr>
              <w:jc w:val="left"/>
            </w:pPr>
            <w:r/>
            <w:r>
              <w:rPr>
                <w:rFonts w:ascii="Times New Roman" w:hAnsi="Times New Roman" w:eastAsia="Times New Roman"/>
                <w:b w:val="0"/>
                <w:i w:val="0"/>
                <w:sz w:val="22"/>
              </w:rPr>
              <w:t>Giảm trùng lắp</w:t>
            </w:r>
          </w:p>
        </w:tc>
        <w:tc>
          <w:tcPr>
            <w:tcW w:type="dxa" w:w="2268"/>
          </w:tcPr>
          <w:p>
            <w:pPr>
              <w:jc w:val="left"/>
            </w:pPr>
            <w:r/>
            <w:r>
              <w:rPr>
                <w:rFonts w:ascii="Times New Roman" w:hAnsi="Times New Roman" w:eastAsia="Times New Roman"/>
                <w:b w:val="0"/>
                <w:i w:val="0"/>
                <w:sz w:val="22"/>
              </w:rPr>
              <w:t>Dễ tạo khoảng trống; DN khó tra cứu</w:t>
            </w:r>
          </w:p>
        </w:tc>
        <w:tc>
          <w:tcPr>
            <w:tcW w:type="dxa" w:w="2268"/>
          </w:tcPr>
          <w:p>
            <w:pPr>
              <w:jc w:val="left"/>
            </w:pPr>
            <w:r/>
            <w:r>
              <w:rPr>
                <w:rFonts w:ascii="Times New Roman" w:hAnsi="Times New Roman" w:eastAsia="Times New Roman"/>
                <w:b w:val="0"/>
                <w:i w:val="0"/>
                <w:sz w:val="22"/>
              </w:rPr>
              <w:t>Không ưu tiên ở thời điểm hiện tại</w:t>
            </w:r>
          </w:p>
        </w:tc>
      </w:tr>
      <w:tr>
        <w:tc>
          <w:tcPr>
            <w:tcW w:type="dxa" w:w="2268"/>
          </w:tcPr>
          <w:p>
            <w:pPr>
              <w:jc w:val="left"/>
            </w:pPr>
            <w:r/>
            <w:r>
              <w:rPr>
                <w:rFonts w:ascii="Times New Roman" w:hAnsi="Times New Roman" w:eastAsia="Times New Roman"/>
                <w:b w:val="0"/>
                <w:i w:val="0"/>
                <w:sz w:val="22"/>
              </w:rPr>
              <w:t>Bãi bỏ một phần</w:t>
            </w:r>
          </w:p>
        </w:tc>
        <w:tc>
          <w:tcPr>
            <w:tcW w:type="dxa" w:w="2268"/>
          </w:tcPr>
          <w:p>
            <w:pPr>
              <w:jc w:val="left"/>
            </w:pPr>
            <w:r/>
            <w:r>
              <w:rPr>
                <w:rFonts w:ascii="Times New Roman" w:hAnsi="Times New Roman" w:eastAsia="Times New Roman"/>
                <w:b w:val="0"/>
                <w:i w:val="0"/>
                <w:sz w:val="22"/>
              </w:rPr>
              <w:t>Xử lý được phần đã lỗi thời</w:t>
            </w:r>
          </w:p>
        </w:tc>
        <w:tc>
          <w:tcPr>
            <w:tcW w:type="dxa" w:w="2268"/>
          </w:tcPr>
          <w:p>
            <w:pPr>
              <w:jc w:val="left"/>
            </w:pPr>
            <w:r/>
            <w:r>
              <w:rPr>
                <w:rFonts w:ascii="Times New Roman" w:hAnsi="Times New Roman" w:eastAsia="Times New Roman"/>
                <w:b w:val="0"/>
                <w:i w:val="0"/>
                <w:sz w:val="22"/>
              </w:rPr>
              <w:t>Không giải quyết tổng thể</w:t>
            </w:r>
          </w:p>
        </w:tc>
        <w:tc>
          <w:tcPr>
            <w:tcW w:type="dxa" w:w="2268"/>
          </w:tcPr>
          <w:p>
            <w:pPr>
              <w:jc w:val="left"/>
            </w:pPr>
            <w:r/>
            <w:r>
              <w:rPr>
                <w:rFonts w:ascii="Times New Roman" w:hAnsi="Times New Roman" w:eastAsia="Times New Roman"/>
                <w:b w:val="0"/>
                <w:i w:val="0"/>
                <w:sz w:val="22"/>
              </w:rPr>
              <w:t>Chỉ nên là bước trung gian</w:t>
            </w:r>
          </w:p>
        </w:tc>
      </w:tr>
      <w:tr>
        <w:tc>
          <w:tcPr>
            <w:tcW w:type="dxa" w:w="2268"/>
          </w:tcPr>
          <w:p>
            <w:pPr>
              <w:jc w:val="left"/>
            </w:pPr>
            <w:r/>
            <w:r>
              <w:rPr>
                <w:rFonts w:ascii="Times New Roman" w:hAnsi="Times New Roman" w:eastAsia="Times New Roman"/>
                <w:b w:val="0"/>
                <w:i w:val="0"/>
                <w:sz w:val="22"/>
              </w:rPr>
              <w:t>Giữ và sửa đổi, bổ sung</w:t>
            </w:r>
          </w:p>
        </w:tc>
        <w:tc>
          <w:tcPr>
            <w:tcW w:type="dxa" w:w="2268"/>
          </w:tcPr>
          <w:p>
            <w:pPr>
              <w:jc w:val="left"/>
            </w:pPr>
            <w:r/>
            <w:r>
              <w:rPr>
                <w:rFonts w:ascii="Times New Roman" w:hAnsi="Times New Roman" w:eastAsia="Times New Roman"/>
                <w:b w:val="0"/>
                <w:i w:val="0"/>
                <w:sz w:val="22"/>
              </w:rPr>
              <w:t>Ổn định tức thời</w:t>
            </w:r>
          </w:p>
        </w:tc>
        <w:tc>
          <w:tcPr>
            <w:tcW w:type="dxa" w:w="2268"/>
          </w:tcPr>
          <w:p>
            <w:pPr>
              <w:jc w:val="left"/>
            </w:pPr>
            <w:r/>
            <w:r>
              <w:rPr>
                <w:rFonts w:ascii="Times New Roman" w:hAnsi="Times New Roman" w:eastAsia="Times New Roman"/>
                <w:b w:val="0"/>
                <w:i w:val="0"/>
                <w:sz w:val="22"/>
              </w:rPr>
              <w:t>Dễ vá víu, thiếu đồng bộ FTA/TM số</w:t>
            </w:r>
          </w:p>
        </w:tc>
        <w:tc>
          <w:tcPr>
            <w:tcW w:type="dxa" w:w="2268"/>
          </w:tcPr>
          <w:p>
            <w:pPr>
              <w:jc w:val="left"/>
            </w:pPr>
            <w:r/>
            <w:r>
              <w:rPr>
                <w:rFonts w:ascii="Times New Roman" w:hAnsi="Times New Roman" w:eastAsia="Times New Roman"/>
                <w:b w:val="0"/>
                <w:i w:val="0"/>
                <w:sz w:val="22"/>
              </w:rPr>
              <w:t>Có thể dùng tạm thời trước khi có Luật mới</w:t>
            </w:r>
          </w:p>
        </w:tc>
      </w:tr>
      <w:tr>
        <w:tc>
          <w:tcPr>
            <w:tcW w:type="dxa" w:w="2268"/>
          </w:tcPr>
          <w:p>
            <w:pPr>
              <w:jc w:val="left"/>
            </w:pPr>
            <w:r/>
            <w:r>
              <w:rPr>
                <w:rFonts w:ascii="Times New Roman" w:hAnsi="Times New Roman" w:eastAsia="Times New Roman"/>
                <w:b w:val="0"/>
                <w:i w:val="0"/>
                <w:sz w:val="22"/>
              </w:rPr>
              <w:t>Ban hành Luật mới thay thế</w:t>
            </w:r>
          </w:p>
        </w:tc>
        <w:tc>
          <w:tcPr>
            <w:tcW w:type="dxa" w:w="2268"/>
          </w:tcPr>
          <w:p>
            <w:pPr>
              <w:jc w:val="left"/>
            </w:pPr>
            <w:r/>
            <w:r>
              <w:rPr>
                <w:rFonts w:ascii="Times New Roman" w:hAnsi="Times New Roman" w:eastAsia="Times New Roman"/>
                <w:b w:val="0"/>
                <w:i w:val="0"/>
                <w:sz w:val="22"/>
              </w:rPr>
              <w:t>Đồng bộ, hiện đại, rõ cấu trúc</w:t>
            </w:r>
          </w:p>
        </w:tc>
        <w:tc>
          <w:tcPr>
            <w:tcW w:type="dxa" w:w="2268"/>
          </w:tcPr>
          <w:p>
            <w:pPr>
              <w:jc w:val="left"/>
            </w:pPr>
            <w:r/>
            <w:r>
              <w:rPr>
                <w:rFonts w:ascii="Times New Roman" w:hAnsi="Times New Roman" w:eastAsia="Times New Roman"/>
                <w:b w:val="0"/>
                <w:i w:val="0"/>
                <w:sz w:val="22"/>
              </w:rPr>
              <w:t>Tốn thời gian xây dựng</w:t>
            </w:r>
          </w:p>
        </w:tc>
        <w:tc>
          <w:tcPr>
            <w:tcW w:type="dxa" w:w="2268"/>
          </w:tcPr>
          <w:p>
            <w:pPr>
              <w:jc w:val="left"/>
            </w:pPr>
            <w:r/>
            <w:r>
              <w:rPr>
                <w:rFonts w:ascii="Times New Roman" w:hAnsi="Times New Roman" w:eastAsia="Times New Roman"/>
                <w:b w:val="0"/>
                <w:i w:val="0"/>
                <w:sz w:val="22"/>
              </w:rPr>
              <w:t>Ưu tiên</w:t>
            </w:r>
          </w:p>
        </w:tc>
      </w:tr>
    </w:tbl>
    <w:p/>
    <w:p>
      <w:pPr>
        <w:spacing w:after="80" w:before="200" w:line="276" w:lineRule="auto"/>
      </w:pPr>
      <w:r>
        <w:rPr>
          <w:rFonts w:ascii="Times New Roman" w:hAnsi="Times New Roman" w:eastAsia="Times New Roman"/>
          <w:b/>
          <w:i w:val="0"/>
          <w:sz w:val="26"/>
        </w:rPr>
        <w:t>V.2. Kiến nghị thực hiện phương án được lựa chọn</w:t>
      </w:r>
    </w:p>
    <w:p>
      <w:pPr>
        <w:spacing w:after="60" w:before="160" w:line="276" w:lineRule="auto"/>
      </w:pPr>
      <w:r>
        <w:rPr>
          <w:rFonts w:ascii="Times New Roman" w:hAnsi="Times New Roman" w:eastAsia="Times New Roman"/>
          <w:b/>
          <w:i w:val="0"/>
          <w:sz w:val="26"/>
        </w:rPr>
        <w:t>5.2.1. Nhóm nội dung cần thể hiện trong Luật Thương mại mới / sửa đổi toàn diện</w:t>
      </w:r>
    </w:p>
    <w:p>
      <w:pPr>
        <w:spacing w:after="120" w:before="0" w:line="276" w:lineRule="auto"/>
        <w:ind w:firstLine="567"/>
        <w:jc w:val="both"/>
      </w:pPr>
      <w:r>
        <w:rPr>
          <w:rFonts w:ascii="Times New Roman" w:hAnsi="Times New Roman" w:eastAsia="Times New Roman"/>
          <w:b/>
          <w:i w:val="0"/>
          <w:sz w:val="26"/>
        </w:rPr>
        <w:t>Chương I – Quy định chung</w:t>
      </w:r>
    </w:p>
    <w:p>
      <w:pPr>
        <w:pStyle w:val="ListBullet"/>
        <w:spacing w:after="60" w:line="276" w:lineRule="auto"/>
        <w:jc w:val="both"/>
      </w:pPr>
      <w:r>
        <w:rPr>
          <w:rFonts w:ascii="Times New Roman" w:hAnsi="Times New Roman" w:eastAsia="Times New Roman"/>
          <w:b w:val="0"/>
          <w:i w:val="0"/>
          <w:sz w:val="26"/>
        </w:rPr>
        <w:t>Làm rõ phạm vi điều chỉnh để giảm giao thoa với BLDS, Luật Đầu tư, Luật Doanh nghiệp;</w:t>
      </w:r>
    </w:p>
    <w:p>
      <w:pPr>
        <w:pStyle w:val="ListBullet"/>
        <w:spacing w:after="60" w:line="276" w:lineRule="auto"/>
        <w:jc w:val="both"/>
      </w:pPr>
      <w:r>
        <w:rPr>
          <w:rFonts w:ascii="Times New Roman" w:hAnsi="Times New Roman" w:eastAsia="Times New Roman"/>
          <w:b w:val="0"/>
          <w:i w:val="0"/>
          <w:sz w:val="26"/>
        </w:rPr>
        <w:t>Bổ sung nguyên tắc áp dụng pháp luật đối với doanh nghiệp quốc phòng có hoạt động thương mại dân sự;</w:t>
      </w:r>
    </w:p>
    <w:p>
      <w:pPr>
        <w:pStyle w:val="ListBullet"/>
        <w:spacing w:after="60" w:line="276" w:lineRule="auto"/>
        <w:jc w:val="both"/>
      </w:pPr>
      <w:r>
        <w:rPr>
          <w:rFonts w:ascii="Times New Roman" w:hAnsi="Times New Roman" w:eastAsia="Times New Roman"/>
          <w:b w:val="0"/>
          <w:i w:val="0"/>
          <w:sz w:val="26"/>
        </w:rPr>
        <w:t>Đồng bộ nguyên tắc điều ước quốc tế với chuẩn mực FTA thế hệ mới.</w:t>
      </w:r>
    </w:p>
    <w:p>
      <w:pPr>
        <w:spacing w:after="120" w:before="0" w:line="276" w:lineRule="auto"/>
        <w:ind w:firstLine="567"/>
        <w:jc w:val="both"/>
      </w:pPr>
      <w:r>
        <w:rPr>
          <w:rFonts w:ascii="Times New Roman" w:hAnsi="Times New Roman" w:eastAsia="Times New Roman"/>
          <w:b/>
          <w:i w:val="0"/>
          <w:sz w:val="26"/>
        </w:rPr>
        <w:t>Chương II – Mua bán hàng hóa</w:t>
      </w:r>
    </w:p>
    <w:p>
      <w:pPr>
        <w:pStyle w:val="ListBullet"/>
        <w:spacing w:after="60" w:line="276" w:lineRule="auto"/>
        <w:jc w:val="both"/>
      </w:pPr>
      <w:r>
        <w:rPr>
          <w:rFonts w:ascii="Times New Roman" w:hAnsi="Times New Roman" w:eastAsia="Times New Roman"/>
          <w:b w:val="0"/>
          <w:i w:val="0"/>
          <w:sz w:val="26"/>
        </w:rPr>
        <w:t>Phân định rõ nội dung hợp đồng mua bán (dân sự – thương mại) với nội dung quản lý nhà nước về XNK thuộc Luật Quản lý ngoại thương;</w:t>
      </w:r>
    </w:p>
    <w:p>
      <w:pPr>
        <w:pStyle w:val="ListBullet"/>
        <w:spacing w:after="60" w:line="276" w:lineRule="auto"/>
        <w:jc w:val="both"/>
      </w:pPr>
      <w:r>
        <w:rPr>
          <w:rFonts w:ascii="Times New Roman" w:hAnsi="Times New Roman" w:eastAsia="Times New Roman"/>
          <w:b w:val="0"/>
          <w:i w:val="0"/>
          <w:sz w:val="26"/>
        </w:rPr>
        <w:t>Bổ sung quy định kết nối điều kiện kinh doanh chuyên ngành (ví dụ PCCC) theo hướng minh bạch, một cửa;</w:t>
      </w:r>
    </w:p>
    <w:p>
      <w:pPr>
        <w:pStyle w:val="ListBullet"/>
        <w:spacing w:after="60" w:line="276" w:lineRule="auto"/>
        <w:jc w:val="both"/>
      </w:pPr>
      <w:r>
        <w:rPr>
          <w:rFonts w:ascii="Times New Roman" w:hAnsi="Times New Roman" w:eastAsia="Times New Roman"/>
          <w:b w:val="0"/>
          <w:i w:val="0"/>
          <w:sz w:val="26"/>
        </w:rPr>
        <w:t>Hoàn thiện quy tắc về chứng từ thương mại điện tử trong mua bán hàng hóa.</w:t>
      </w:r>
    </w:p>
    <w:p>
      <w:pPr>
        <w:spacing w:after="120" w:before="0" w:line="276" w:lineRule="auto"/>
        <w:ind w:firstLine="567"/>
        <w:jc w:val="both"/>
      </w:pPr>
      <w:r>
        <w:rPr>
          <w:rFonts w:ascii="Times New Roman" w:hAnsi="Times New Roman" w:eastAsia="Times New Roman"/>
          <w:b/>
          <w:i w:val="0"/>
          <w:sz w:val="26"/>
        </w:rPr>
        <w:t>Chương III – Cung ứng dịch vụ &amp; chế định gia công</w:t>
      </w:r>
    </w:p>
    <w:p>
      <w:pPr>
        <w:pStyle w:val="ListBullet"/>
        <w:spacing w:after="60" w:line="276" w:lineRule="auto"/>
        <w:jc w:val="both"/>
      </w:pPr>
      <w:r>
        <w:rPr>
          <w:rFonts w:ascii="Times New Roman" w:hAnsi="Times New Roman" w:eastAsia="Times New Roman"/>
          <w:b w:val="0"/>
          <w:i w:val="0"/>
          <w:sz w:val="26"/>
        </w:rPr>
        <w:t>Làm rõ tiêu chí phân loại hợp đồng dịch vụ – gia công – hợp đồng hỗn hợp;</w:t>
      </w:r>
    </w:p>
    <w:p>
      <w:pPr>
        <w:pStyle w:val="ListBullet"/>
        <w:spacing w:after="60" w:line="276" w:lineRule="auto"/>
        <w:jc w:val="both"/>
      </w:pPr>
      <w:r>
        <w:rPr>
          <w:rFonts w:ascii="Times New Roman" w:hAnsi="Times New Roman" w:eastAsia="Times New Roman"/>
          <w:b w:val="0"/>
          <w:i w:val="0"/>
          <w:sz w:val="26"/>
        </w:rPr>
        <w:t>Bổ sung nghĩa vụ bảo mật, sở hữu trí tuệ, kiểm soát công nghệ lưỡng dụng trong gia công.</w:t>
      </w:r>
    </w:p>
    <w:p>
      <w:pPr>
        <w:spacing w:after="120" w:before="0" w:line="276" w:lineRule="auto"/>
        <w:ind w:firstLine="567"/>
        <w:jc w:val="both"/>
      </w:pPr>
      <w:r>
        <w:rPr>
          <w:rFonts w:ascii="Times New Roman" w:hAnsi="Times New Roman" w:eastAsia="Times New Roman"/>
          <w:b/>
          <w:i w:val="0"/>
          <w:sz w:val="26"/>
        </w:rPr>
        <w:t>Chương IV – Xúc tiến thương mại</w:t>
      </w:r>
    </w:p>
    <w:p>
      <w:pPr>
        <w:pStyle w:val="ListBullet"/>
        <w:spacing w:after="60" w:line="276" w:lineRule="auto"/>
        <w:jc w:val="both"/>
      </w:pPr>
      <w:r>
        <w:rPr>
          <w:rFonts w:ascii="Times New Roman" w:hAnsi="Times New Roman" w:eastAsia="Times New Roman"/>
          <w:b w:val="0"/>
          <w:i w:val="0"/>
          <w:sz w:val="26"/>
        </w:rPr>
        <w:t>Phân định xúc tiến thương mại với quảng cáo, xúc tiến đầu tư;</w:t>
      </w:r>
    </w:p>
    <w:p>
      <w:pPr>
        <w:pStyle w:val="ListBullet"/>
        <w:spacing w:after="60" w:line="276" w:lineRule="auto"/>
        <w:jc w:val="both"/>
      </w:pPr>
      <w:r>
        <w:rPr>
          <w:rFonts w:ascii="Times New Roman" w:hAnsi="Times New Roman" w:eastAsia="Times New Roman"/>
          <w:b w:val="0"/>
          <w:i w:val="0"/>
          <w:sz w:val="26"/>
        </w:rPr>
        <w:t>Cơ chế hỗ trợ DN xuất khẩu tiếp cận quỹ/chương trình xúc tiến; thí điểm tổ chức đại diện bảo vệ quyền lợi DN Việt Nam ở nước ngoài đúng định hướng Phụ lục II.</w:t>
      </w:r>
    </w:p>
    <w:p>
      <w:pPr>
        <w:spacing w:after="120" w:before="0" w:line="276" w:lineRule="auto"/>
        <w:ind w:firstLine="567"/>
        <w:jc w:val="both"/>
      </w:pPr>
      <w:r>
        <w:rPr>
          <w:rFonts w:ascii="Times New Roman" w:hAnsi="Times New Roman" w:eastAsia="Times New Roman"/>
          <w:b/>
          <w:i w:val="0"/>
          <w:sz w:val="26"/>
        </w:rPr>
        <w:t>Chương V – Trung gian thương mại</w:t>
      </w:r>
    </w:p>
    <w:p>
      <w:pPr>
        <w:pStyle w:val="ListBullet"/>
        <w:spacing w:after="60" w:line="276" w:lineRule="auto"/>
        <w:jc w:val="both"/>
      </w:pPr>
      <w:r>
        <w:rPr>
          <w:rFonts w:ascii="Times New Roman" w:hAnsi="Times New Roman" w:eastAsia="Times New Roman"/>
          <w:b w:val="0"/>
          <w:i w:val="0"/>
          <w:sz w:val="26"/>
        </w:rPr>
        <w:t>Cập nhật quy định đại lý, phân phối đa cấp độ, chuỗi cung ứng; điều kiện kinh doanh liên quan hệ thống phân phối.</w:t>
      </w:r>
    </w:p>
    <w:p>
      <w:pPr>
        <w:spacing w:after="120" w:before="0" w:line="276" w:lineRule="auto"/>
        <w:ind w:firstLine="567"/>
        <w:jc w:val="both"/>
      </w:pPr>
      <w:r>
        <w:rPr>
          <w:rFonts w:ascii="Times New Roman" w:hAnsi="Times New Roman" w:eastAsia="Times New Roman"/>
          <w:b/>
          <w:i w:val="0"/>
          <w:sz w:val="26"/>
        </w:rPr>
        <w:t>Chương VI – Logistics và hoạt động đặc thù</w:t>
      </w:r>
    </w:p>
    <w:p>
      <w:pPr>
        <w:pStyle w:val="ListBullet"/>
        <w:spacing w:after="60" w:line="276" w:lineRule="auto"/>
        <w:jc w:val="both"/>
      </w:pPr>
      <w:r>
        <w:rPr>
          <w:rFonts w:ascii="Times New Roman" w:hAnsi="Times New Roman" w:eastAsia="Times New Roman"/>
          <w:b w:val="0"/>
          <w:i w:val="0"/>
          <w:sz w:val="26"/>
        </w:rPr>
        <w:t>Sửa đổi, bổ sung mạnh quy định logistics, vận tải, dịch vụ chuỗi cung ứng theo Quyết định số 531/QĐ-TTg và nhu cầu giảm chi phí xuất khẩu[16].</w:t>
      </w:r>
    </w:p>
    <w:p>
      <w:pPr>
        <w:spacing w:after="120" w:before="0" w:line="276" w:lineRule="auto"/>
        <w:ind w:firstLine="567"/>
        <w:jc w:val="both"/>
      </w:pPr>
      <w:r>
        <w:rPr>
          <w:rFonts w:ascii="Times New Roman" w:hAnsi="Times New Roman" w:eastAsia="Times New Roman"/>
          <w:b/>
          <w:i w:val="0"/>
          <w:sz w:val="26"/>
        </w:rPr>
        <w:t>Chương VII – Chế tài và giải quyết tranh chấp</w:t>
      </w:r>
    </w:p>
    <w:p>
      <w:pPr>
        <w:pStyle w:val="ListBullet"/>
        <w:spacing w:after="60" w:line="276" w:lineRule="auto"/>
        <w:jc w:val="both"/>
      </w:pPr>
      <w:r>
        <w:rPr>
          <w:rFonts w:ascii="Times New Roman" w:hAnsi="Times New Roman" w:eastAsia="Times New Roman"/>
          <w:b w:val="0"/>
          <w:i w:val="0"/>
          <w:sz w:val="26"/>
        </w:rPr>
        <w:t>Bổ sung cơ chế xử lý hiệu quả hành vi trì hoãn thanh toán hợp đồng;</w:t>
      </w:r>
    </w:p>
    <w:p>
      <w:pPr>
        <w:pStyle w:val="ListBullet"/>
        <w:spacing w:after="60" w:line="276" w:lineRule="auto"/>
        <w:jc w:val="both"/>
      </w:pPr>
      <w:r>
        <w:rPr>
          <w:rFonts w:ascii="Times New Roman" w:hAnsi="Times New Roman" w:eastAsia="Times New Roman"/>
          <w:b w:val="0"/>
          <w:i w:val="0"/>
          <w:sz w:val="26"/>
        </w:rPr>
        <w:t>Khuyến khích/ghi nhận giải quyết tranh chấp bằng trọng tài thương mại, đặc biệt tranh chấp có yếu tố nước ngoài;</w:t>
      </w:r>
    </w:p>
    <w:p>
      <w:pPr>
        <w:pStyle w:val="ListBullet"/>
        <w:spacing w:after="60" w:line="276" w:lineRule="auto"/>
        <w:jc w:val="both"/>
      </w:pPr>
      <w:r>
        <w:rPr>
          <w:rFonts w:ascii="Times New Roman" w:hAnsi="Times New Roman" w:eastAsia="Times New Roman"/>
          <w:b w:val="0"/>
          <w:i w:val="0"/>
          <w:sz w:val="26"/>
        </w:rPr>
        <w:t>Bảo đảm tinh thần Nghị quyết số 66-NQ/TW, Nghị quyết số 68-NQ/TW và Nghị quyết số 138/NQ-CP ngày 16/5/2025[19].</w:t>
      </w:r>
    </w:p>
    <w:p>
      <w:pPr>
        <w:spacing w:after="120" w:before="0" w:line="276" w:lineRule="auto"/>
        <w:ind w:firstLine="567"/>
        <w:jc w:val="both"/>
      </w:pPr>
      <w:r>
        <w:rPr>
          <w:rFonts w:ascii="Times New Roman" w:hAnsi="Times New Roman" w:eastAsia="Times New Roman"/>
          <w:b/>
          <w:i w:val="0"/>
          <w:sz w:val="26"/>
        </w:rPr>
        <w:t>Chương VIII – Xử lý vi phạm</w:t>
      </w:r>
    </w:p>
    <w:p>
      <w:pPr>
        <w:pStyle w:val="ListBullet"/>
        <w:spacing w:after="60" w:line="276" w:lineRule="auto"/>
        <w:jc w:val="both"/>
      </w:pPr>
      <w:r>
        <w:rPr>
          <w:rFonts w:ascii="Times New Roman" w:hAnsi="Times New Roman" w:eastAsia="Times New Roman"/>
          <w:b w:val="0"/>
          <w:i w:val="0"/>
          <w:sz w:val="26"/>
        </w:rPr>
        <w:t>Phân định rõ với luật xử lý VPHC và luật chuyên ngành; tránh chồng thẩm quyền.</w:t>
      </w:r>
    </w:p>
    <w:p>
      <w:pPr>
        <w:spacing w:after="120" w:before="0" w:line="276" w:lineRule="auto"/>
        <w:ind w:firstLine="567"/>
        <w:jc w:val="both"/>
      </w:pPr>
      <w:r>
        <w:rPr>
          <w:rFonts w:ascii="Times New Roman" w:hAnsi="Times New Roman" w:eastAsia="Times New Roman"/>
          <w:b/>
          <w:i w:val="0"/>
          <w:sz w:val="26"/>
        </w:rPr>
        <w:t>Nội dung mới đề xuất bổ sung</w:t>
      </w:r>
    </w:p>
    <w:p>
      <w:pPr>
        <w:pStyle w:val="ListBullet"/>
        <w:spacing w:after="60" w:line="276" w:lineRule="auto"/>
        <w:jc w:val="both"/>
      </w:pPr>
      <w:r>
        <w:rPr>
          <w:rFonts w:ascii="Times New Roman" w:hAnsi="Times New Roman" w:eastAsia="Times New Roman"/>
          <w:b w:val="0"/>
          <w:i w:val="0"/>
          <w:sz w:val="26"/>
        </w:rPr>
        <w:t>Thương mại số / hợp đồng điện tử trong hoạt động thương mại;</w:t>
      </w:r>
    </w:p>
    <w:p>
      <w:pPr>
        <w:pStyle w:val="ListBullet"/>
        <w:spacing w:after="60" w:line="276" w:lineRule="auto"/>
        <w:jc w:val="both"/>
      </w:pPr>
      <w:r>
        <w:rPr>
          <w:rFonts w:ascii="Times New Roman" w:hAnsi="Times New Roman" w:eastAsia="Times New Roman"/>
          <w:b w:val="0"/>
          <w:i w:val="0"/>
          <w:sz w:val="26"/>
        </w:rPr>
        <w:t>Thương mại xanh / thuận lợi hóa “làn xanh”;</w:t>
      </w:r>
    </w:p>
    <w:p>
      <w:pPr>
        <w:pStyle w:val="ListBullet"/>
        <w:spacing w:after="60" w:line="276" w:lineRule="auto"/>
        <w:jc w:val="both"/>
      </w:pPr>
      <w:r>
        <w:rPr>
          <w:rFonts w:ascii="Times New Roman" w:hAnsi="Times New Roman" w:eastAsia="Times New Roman"/>
          <w:b w:val="0"/>
          <w:i w:val="0"/>
          <w:sz w:val="26"/>
        </w:rPr>
        <w:t>Quy định giao thoa với pháp luật công nghiệp quốc phòng đối với hàng hóa, dịch vụ lưỡng dụng.</w:t>
      </w:r>
    </w:p>
    <w:p>
      <w:pPr>
        <w:spacing w:after="60" w:before="160" w:line="276" w:lineRule="auto"/>
      </w:pPr>
      <w:r>
        <w:rPr>
          <w:rFonts w:ascii="Times New Roman" w:hAnsi="Times New Roman" w:eastAsia="Times New Roman"/>
          <w:b/>
          <w:i w:val="0"/>
          <w:sz w:val="26"/>
        </w:rPr>
        <w:t>5.2.2. Văn bản dưới luật cần rà soát, ban hành mới hoặc sửa đổi</w:t>
      </w:r>
    </w:p>
    <w:p>
      <w:pPr>
        <w:spacing w:after="60" w:before="0" w:line="276" w:lineRule="auto"/>
        <w:ind w:firstLine="283"/>
        <w:jc w:val="both"/>
      </w:pPr>
      <w:r>
        <w:rPr>
          <w:rFonts w:ascii="Times New Roman" w:hAnsi="Times New Roman" w:eastAsia="Times New Roman"/>
          <w:b w:val="0"/>
          <w:i w:val="0"/>
          <w:sz w:val="26"/>
        </w:rPr>
        <w:t>1. Các nghị định quy định chi tiết về xúc tiến thương mại, khuyến mại (NĐ 37/2006/NĐ-CP, NĐ 81/2018/NĐ-CP và VB sửa đổi, bổ sung)[4][5];</w:t>
      </w:r>
    </w:p>
    <w:p>
      <w:pPr>
        <w:spacing w:after="60" w:before="0" w:line="276" w:lineRule="auto"/>
        <w:ind w:firstLine="283"/>
        <w:jc w:val="both"/>
      </w:pPr>
      <w:r>
        <w:rPr>
          <w:rFonts w:ascii="Times New Roman" w:hAnsi="Times New Roman" w:eastAsia="Times New Roman"/>
          <w:b w:val="0"/>
          <w:i w:val="0"/>
          <w:sz w:val="26"/>
        </w:rPr>
        <w:t>2. Các nghị định liên quan mua bán hàng hóa của thương nhân/nhà đầu tư nước ngoài (NĐ 09/2018/NĐ-CP)[11];</w:t>
      </w:r>
    </w:p>
    <w:p>
      <w:pPr>
        <w:spacing w:after="60" w:before="0" w:line="276" w:lineRule="auto"/>
        <w:ind w:firstLine="283"/>
        <w:jc w:val="both"/>
      </w:pPr>
      <w:r>
        <w:rPr>
          <w:rFonts w:ascii="Times New Roman" w:hAnsi="Times New Roman" w:eastAsia="Times New Roman"/>
          <w:b w:val="0"/>
          <w:i w:val="0"/>
          <w:sz w:val="26"/>
        </w:rPr>
        <w:t>3. Văn bản hướng dẫn logistics, phân phối gắn triển khai Quyết định số 531/QĐ-TTg[16];</w:t>
      </w:r>
    </w:p>
    <w:p>
      <w:pPr>
        <w:spacing w:after="60" w:before="0" w:line="276" w:lineRule="auto"/>
        <w:ind w:firstLine="283"/>
        <w:jc w:val="both"/>
      </w:pPr>
      <w:r>
        <w:rPr>
          <w:rFonts w:ascii="Times New Roman" w:hAnsi="Times New Roman" w:eastAsia="Times New Roman"/>
          <w:b w:val="0"/>
          <w:i w:val="0"/>
          <w:sz w:val="26"/>
        </w:rPr>
        <w:t>4. Văn bản hướng dẫn liên ngành Bộ Công Thương – Bộ Quốc phòng – Bộ Tài chính (Hải quan) – cơ quan PCCC về thủ tục cho DN quốc phòng làm hàng xuất khẩu/kinh doanh dân sự;</w:t>
      </w:r>
    </w:p>
    <w:p>
      <w:pPr>
        <w:spacing w:after="60" w:before="0" w:line="276" w:lineRule="auto"/>
        <w:ind w:firstLine="283"/>
        <w:jc w:val="both"/>
      </w:pPr>
      <w:r>
        <w:rPr>
          <w:rFonts w:ascii="Times New Roman" w:hAnsi="Times New Roman" w:eastAsia="Times New Roman"/>
          <w:b w:val="0"/>
          <w:i w:val="0"/>
          <w:sz w:val="26"/>
        </w:rPr>
        <w:t>5. Rà soát Nghị định số 98/2020/NĐ-CP (sửa đổi, bổ sung) về xử phạt VPHC trong thương mại để đồng bộ hành vi – thẩm quyền[20].</w:t>
      </w:r>
    </w:p>
    <w:p>
      <w:pPr>
        <w:spacing w:after="60" w:before="160" w:line="276" w:lineRule="auto"/>
      </w:pPr>
      <w:r>
        <w:rPr>
          <w:rFonts w:ascii="Times New Roman" w:hAnsi="Times New Roman" w:eastAsia="Times New Roman"/>
          <w:b/>
          <w:i w:val="0"/>
          <w:sz w:val="26"/>
        </w:rPr>
        <w:t>5.2.3. Giải pháp tổ chức thực hiện và phối hợp</w:t>
      </w:r>
    </w:p>
    <w:p>
      <w:pPr>
        <w:pStyle w:val="ListBullet"/>
        <w:spacing w:after="60" w:line="276" w:lineRule="auto"/>
        <w:jc w:val="both"/>
      </w:pPr>
      <w:r>
        <w:rPr>
          <w:rFonts w:ascii="Times New Roman" w:hAnsi="Times New Roman" w:eastAsia="Times New Roman"/>
          <w:b w:val="0"/>
          <w:i w:val="0"/>
          <w:sz w:val="26"/>
        </w:rPr>
        <w:t>Thiết lập đầu mối hướng dẫn pháp luật thương mại cho doanh nghiệp thuộc Bộ Quốc phòng;</w:t>
      </w:r>
    </w:p>
    <w:p>
      <w:pPr>
        <w:pStyle w:val="ListBullet"/>
        <w:spacing w:after="60" w:line="276" w:lineRule="auto"/>
        <w:jc w:val="both"/>
      </w:pPr>
      <w:r>
        <w:rPr>
          <w:rFonts w:ascii="Times New Roman" w:hAnsi="Times New Roman" w:eastAsia="Times New Roman"/>
          <w:b w:val="0"/>
          <w:i w:val="0"/>
          <w:sz w:val="26"/>
        </w:rPr>
        <w:t>Cơ chế tham vấn doanh nghiệp trước khi ban hành văn bản hướng dẫn có ảnh hưởng XNK, logistics, điều kiện kinh doanh;</w:t>
      </w:r>
    </w:p>
    <w:p>
      <w:pPr>
        <w:pStyle w:val="ListBullet"/>
        <w:spacing w:after="60" w:line="276" w:lineRule="auto"/>
        <w:jc w:val="both"/>
      </w:pPr>
      <w:r>
        <w:rPr>
          <w:rFonts w:ascii="Times New Roman" w:hAnsi="Times New Roman" w:eastAsia="Times New Roman"/>
          <w:b w:val="0"/>
          <w:i w:val="0"/>
          <w:sz w:val="26"/>
        </w:rPr>
        <w:t>Chuẩn hóa hợp đồng mẫu (gia công, xuất khẩu, phân phối PCCC) kèm khuyến nghị điều khoản trọng tài và chế tài chậm thanh toán.</w:t>
      </w:r>
    </w:p>
    <w:p>
      <w:pPr>
        <w:spacing w:after="80" w:before="200" w:line="276" w:lineRule="auto"/>
      </w:pPr>
      <w:r>
        <w:rPr>
          <w:rFonts w:ascii="Times New Roman" w:hAnsi="Times New Roman" w:eastAsia="Times New Roman"/>
          <w:b/>
          <w:i w:val="0"/>
          <w:sz w:val="26"/>
        </w:rPr>
        <w:t>V.3. Lộ trình thực hiện đề xuất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E2F3" w:val="clear"/>
          </w:tcPr>
          <w:p>
            <w:pPr>
              <w:jc w:val="left"/>
            </w:pPr>
            <w:r/>
            <w:r>
              <w:rPr>
                <w:rFonts w:ascii="Times New Roman" w:hAnsi="Times New Roman" w:eastAsia="Times New Roman"/>
                <w:b/>
                <w:i w:val="0"/>
                <w:sz w:val="22"/>
              </w:rPr>
              <w:t>Giai đoạn</w:t>
            </w:r>
          </w:p>
        </w:tc>
        <w:tc>
          <w:tcPr>
            <w:tcW w:type="dxa" w:w="3024"/>
            <w:shd w:fill="D9E2F3" w:val="clear"/>
          </w:tcPr>
          <w:p>
            <w:pPr>
              <w:jc w:val="left"/>
            </w:pPr>
            <w:r/>
            <w:r>
              <w:rPr>
                <w:rFonts w:ascii="Times New Roman" w:hAnsi="Times New Roman" w:eastAsia="Times New Roman"/>
                <w:b/>
                <w:i w:val="0"/>
                <w:sz w:val="22"/>
              </w:rPr>
              <w:t>Thời gian gợi ý</w:t>
            </w:r>
          </w:p>
        </w:tc>
        <w:tc>
          <w:tcPr>
            <w:tcW w:type="dxa" w:w="3024"/>
            <w:shd w:fill="D9E2F3" w:val="clear"/>
          </w:tcPr>
          <w:p>
            <w:pPr>
              <w:jc w:val="left"/>
            </w:pPr>
            <w:r/>
            <w:r>
              <w:rPr>
                <w:rFonts w:ascii="Times New Roman" w:hAnsi="Times New Roman" w:eastAsia="Times New Roman"/>
                <w:b/>
                <w:i w:val="0"/>
                <w:sz w:val="22"/>
              </w:rPr>
              <w:t>Nội dung</w:t>
            </w:r>
          </w:p>
        </w:tc>
      </w:tr>
      <w:tr>
        <w:tc>
          <w:tcPr>
            <w:tcW w:type="dxa" w:w="3024"/>
          </w:tcPr>
          <w:p>
            <w:pPr>
              <w:jc w:val="left"/>
            </w:pPr>
            <w:r/>
            <w:r>
              <w:rPr>
                <w:rFonts w:ascii="Times New Roman" w:hAnsi="Times New Roman" w:eastAsia="Times New Roman"/>
                <w:b w:val="0"/>
                <w:i w:val="0"/>
                <w:sz w:val="22"/>
              </w:rPr>
              <w:t>Ngắn hạn</w:t>
            </w:r>
          </w:p>
        </w:tc>
        <w:tc>
          <w:tcPr>
            <w:tcW w:type="dxa" w:w="3024"/>
          </w:tcPr>
          <w:p>
            <w:pPr>
              <w:jc w:val="left"/>
            </w:pPr>
            <w:r/>
            <w:r>
              <w:rPr>
                <w:rFonts w:ascii="Times New Roman" w:hAnsi="Times New Roman" w:eastAsia="Times New Roman"/>
                <w:b w:val="0"/>
                <w:i w:val="0"/>
                <w:sz w:val="22"/>
              </w:rPr>
              <w:t>Đến hết 2027</w:t>
            </w:r>
          </w:p>
        </w:tc>
        <w:tc>
          <w:tcPr>
            <w:tcW w:type="dxa" w:w="3024"/>
          </w:tcPr>
          <w:p>
            <w:pPr>
              <w:jc w:val="left"/>
            </w:pPr>
            <w:r/>
            <w:r>
              <w:rPr>
                <w:rFonts w:ascii="Times New Roman" w:hAnsi="Times New Roman" w:eastAsia="Times New Roman"/>
                <w:b w:val="0"/>
                <w:i w:val="0"/>
                <w:sz w:val="22"/>
              </w:rPr>
              <w:t>Hoàn thành tổng kết; ban hành định hướng chính sách; rà soát danh mục VBPL chồng chéo; hướng dẫn chuyển tiếp</w:t>
            </w:r>
          </w:p>
        </w:tc>
      </w:tr>
      <w:tr>
        <w:tc>
          <w:tcPr>
            <w:tcW w:type="dxa" w:w="3024"/>
          </w:tcPr>
          <w:p>
            <w:pPr>
              <w:jc w:val="left"/>
            </w:pPr>
            <w:r/>
            <w:r>
              <w:rPr>
                <w:rFonts w:ascii="Times New Roman" w:hAnsi="Times New Roman" w:eastAsia="Times New Roman"/>
                <w:b w:val="0"/>
                <w:i w:val="0"/>
                <w:sz w:val="22"/>
              </w:rPr>
              <w:t>Trung hạn</w:t>
            </w:r>
          </w:p>
        </w:tc>
        <w:tc>
          <w:tcPr>
            <w:tcW w:type="dxa" w:w="3024"/>
          </w:tcPr>
          <w:p>
            <w:pPr>
              <w:jc w:val="left"/>
            </w:pPr>
            <w:r/>
            <w:r>
              <w:rPr>
                <w:rFonts w:ascii="Times New Roman" w:hAnsi="Times New Roman" w:eastAsia="Times New Roman"/>
                <w:b w:val="0"/>
                <w:i w:val="0"/>
                <w:sz w:val="22"/>
              </w:rPr>
              <w:t>2027–2029</w:t>
            </w:r>
          </w:p>
        </w:tc>
        <w:tc>
          <w:tcPr>
            <w:tcW w:type="dxa" w:w="3024"/>
          </w:tcPr>
          <w:p>
            <w:pPr>
              <w:jc w:val="left"/>
            </w:pPr>
            <w:r/>
            <w:r>
              <w:rPr>
                <w:rFonts w:ascii="Times New Roman" w:hAnsi="Times New Roman" w:eastAsia="Times New Roman"/>
                <w:b w:val="0"/>
                <w:i w:val="0"/>
                <w:sz w:val="22"/>
              </w:rPr>
              <w:t>Xây dựng, thẩm định, trình Quốc hội Luật Thương mại mới (hoặc luật sửa đổi toàn diện); soạn nghị định hướng dẫn khung</w:t>
            </w:r>
          </w:p>
        </w:tc>
      </w:tr>
      <w:tr>
        <w:tc>
          <w:tcPr>
            <w:tcW w:type="dxa" w:w="3024"/>
          </w:tcPr>
          <w:p>
            <w:pPr>
              <w:jc w:val="left"/>
            </w:pPr>
            <w:r/>
            <w:r>
              <w:rPr>
                <w:rFonts w:ascii="Times New Roman" w:hAnsi="Times New Roman" w:eastAsia="Times New Roman"/>
                <w:b w:val="0"/>
                <w:i w:val="0"/>
                <w:sz w:val="22"/>
              </w:rPr>
              <w:t>Đồng bộ hóa</w:t>
            </w:r>
          </w:p>
        </w:tc>
        <w:tc>
          <w:tcPr>
            <w:tcW w:type="dxa" w:w="3024"/>
          </w:tcPr>
          <w:p>
            <w:pPr>
              <w:jc w:val="left"/>
            </w:pPr>
            <w:r/>
            <w:r>
              <w:rPr>
                <w:rFonts w:ascii="Times New Roman" w:hAnsi="Times New Roman" w:eastAsia="Times New Roman"/>
                <w:b w:val="0"/>
                <w:i w:val="0"/>
                <w:sz w:val="22"/>
              </w:rPr>
              <w:t>Song song</w:t>
            </w:r>
          </w:p>
        </w:tc>
        <w:tc>
          <w:tcPr>
            <w:tcW w:type="dxa" w:w="3024"/>
          </w:tcPr>
          <w:p>
            <w:pPr>
              <w:jc w:val="left"/>
            </w:pPr>
            <w:r/>
            <w:r>
              <w:rPr>
                <w:rFonts w:ascii="Times New Roman" w:hAnsi="Times New Roman" w:eastAsia="Times New Roman"/>
                <w:b w:val="0"/>
                <w:i w:val="0"/>
                <w:sz w:val="22"/>
              </w:rPr>
              <w:t>Sửa đổi, bổ sung các luật liên quan (QLNT, quảng cáo, VPHC… ) để thống nhất thuật ngữ và phạm vi</w:t>
            </w:r>
          </w:p>
        </w:tc>
      </w:tr>
      <w:tr>
        <w:tc>
          <w:tcPr>
            <w:tcW w:type="dxa" w:w="3024"/>
          </w:tcPr>
          <w:p>
            <w:pPr>
              <w:jc w:val="left"/>
            </w:pPr>
            <w:r/>
            <w:r>
              <w:rPr>
                <w:rFonts w:ascii="Times New Roman" w:hAnsi="Times New Roman" w:eastAsia="Times New Roman"/>
                <w:b w:val="0"/>
                <w:i w:val="0"/>
                <w:sz w:val="22"/>
              </w:rPr>
              <w:t>Bảo đảm FTA</w:t>
            </w:r>
          </w:p>
        </w:tc>
        <w:tc>
          <w:tcPr>
            <w:tcW w:type="dxa" w:w="3024"/>
          </w:tcPr>
          <w:p>
            <w:pPr>
              <w:jc w:val="left"/>
            </w:pPr>
            <w:r/>
            <w:r>
              <w:rPr>
                <w:rFonts w:ascii="Times New Roman" w:hAnsi="Times New Roman" w:eastAsia="Times New Roman"/>
                <w:b w:val="0"/>
                <w:i w:val="0"/>
                <w:sz w:val="22"/>
              </w:rPr>
              <w:t>Thường xuyên</w:t>
            </w:r>
          </w:p>
        </w:tc>
        <w:tc>
          <w:tcPr>
            <w:tcW w:type="dxa" w:w="3024"/>
          </w:tcPr>
          <w:p>
            <w:pPr>
              <w:jc w:val="left"/>
            </w:pPr>
            <w:r/>
            <w:r>
              <w:rPr>
                <w:rFonts w:ascii="Times New Roman" w:hAnsi="Times New Roman" w:eastAsia="Times New Roman"/>
                <w:b w:val="0"/>
                <w:i w:val="0"/>
                <w:sz w:val="22"/>
              </w:rPr>
              <w:t>Rà soát tương thích cam kết quốc tế trước và sau khi ban hành Luật mới</w:t>
            </w:r>
          </w:p>
        </w:tc>
      </w:tr>
      <w:tr>
        <w:tc>
          <w:tcPr>
            <w:tcW w:type="dxa" w:w="3024"/>
          </w:tcPr>
          <w:p>
            <w:pPr>
              <w:jc w:val="left"/>
            </w:pPr>
            <w:r/>
            <w:r>
              <w:rPr>
                <w:rFonts w:ascii="Times New Roman" w:hAnsi="Times New Roman" w:eastAsia="Times New Roman"/>
                <w:b w:val="0"/>
                <w:i w:val="0"/>
                <w:sz w:val="22"/>
              </w:rPr>
              <w:t>Quy định chuyển tiếp</w:t>
            </w:r>
          </w:p>
        </w:tc>
        <w:tc>
          <w:tcPr>
            <w:tcW w:type="dxa" w:w="3024"/>
          </w:tcPr>
          <w:p>
            <w:pPr>
              <w:jc w:val="left"/>
            </w:pPr>
            <w:r/>
            <w:r>
              <w:rPr>
                <w:rFonts w:ascii="Times New Roman" w:hAnsi="Times New Roman" w:eastAsia="Times New Roman"/>
                <w:b w:val="0"/>
                <w:i w:val="0"/>
                <w:sz w:val="22"/>
              </w:rPr>
              <w:t>Khi Luật mới có hiệu lực</w:t>
            </w:r>
          </w:p>
        </w:tc>
        <w:tc>
          <w:tcPr>
            <w:tcW w:type="dxa" w:w="3024"/>
          </w:tcPr>
          <w:p>
            <w:pPr>
              <w:jc w:val="left"/>
            </w:pPr>
            <w:r/>
            <w:r>
              <w:rPr>
                <w:rFonts w:ascii="Times New Roman" w:hAnsi="Times New Roman" w:eastAsia="Times New Roman"/>
                <w:b w:val="0"/>
                <w:i w:val="0"/>
                <w:sz w:val="22"/>
              </w:rPr>
              <w:t>Công nhận hiệu lực hợp đồng đang thực hiện; điều khoản chuyển tiếp đối với giấy phép/điều kiện kinh doanh; không làm gián đoạn hoạt động XNK</w:t>
            </w:r>
          </w:p>
        </w:tc>
      </w:tr>
    </w:tbl>
    <w:p/>
    <w:p>
      <w:pPr>
        <w:spacing w:after="80" w:before="200" w:line="276" w:lineRule="auto"/>
      </w:pPr>
      <w:r>
        <w:rPr>
          <w:rFonts w:ascii="Times New Roman" w:hAnsi="Times New Roman" w:eastAsia="Times New Roman"/>
          <w:b/>
          <w:i w:val="0"/>
          <w:sz w:val="26"/>
        </w:rPr>
        <w:t>V.4. Giải pháp nâng cao hiệu quả thi hành pháp luật</w:t>
      </w:r>
    </w:p>
    <w:p>
      <w:pPr>
        <w:spacing w:after="60" w:before="0" w:line="276" w:lineRule="auto"/>
        <w:ind w:firstLine="283"/>
        <w:jc w:val="both"/>
      </w:pPr>
      <w:r>
        <w:rPr>
          <w:rFonts w:ascii="Times New Roman" w:hAnsi="Times New Roman" w:eastAsia="Times New Roman"/>
          <w:b w:val="0"/>
          <w:i w:val="0"/>
          <w:sz w:val="26"/>
        </w:rPr>
        <w:t xml:space="preserve">1. </w:t>
      </w:r>
      <w:r>
        <w:rPr>
          <w:rFonts w:ascii="Times New Roman" w:hAnsi="Times New Roman" w:eastAsia="Times New Roman"/>
          <w:b/>
          <w:i w:val="0"/>
          <w:sz w:val="26"/>
        </w:rPr>
        <w:t>Phối hợp – phân công – phân cấp – phân quyền:</w:t>
      </w:r>
      <w:r>
        <w:rPr>
          <w:rFonts w:ascii="Times New Roman" w:hAnsi="Times New Roman" w:eastAsia="Times New Roman"/>
          <w:b w:val="0"/>
          <w:i w:val="0"/>
          <w:sz w:val="26"/>
        </w:rPr>
        <w:t xml:space="preserve"> làm rõ trách nhiệm Bộ Công Thương và các bộ quản lý chuyên ngành; có cơ chế một cửa cho DN lưỡng dụng trong một số TTHC XNK.</w:t>
      </w:r>
    </w:p>
    <w:p>
      <w:pPr>
        <w:spacing w:after="60" w:before="0" w:line="276" w:lineRule="auto"/>
        <w:ind w:firstLine="283"/>
        <w:jc w:val="both"/>
      </w:pPr>
      <w:r>
        <w:rPr>
          <w:rFonts w:ascii="Times New Roman" w:hAnsi="Times New Roman" w:eastAsia="Times New Roman"/>
          <w:b w:val="0"/>
          <w:i w:val="0"/>
          <w:sz w:val="26"/>
        </w:rPr>
        <w:t xml:space="preserve">2. </w:t>
      </w:r>
      <w:r>
        <w:rPr>
          <w:rFonts w:ascii="Times New Roman" w:hAnsi="Times New Roman" w:eastAsia="Times New Roman"/>
          <w:b/>
          <w:i w:val="0"/>
          <w:sz w:val="26"/>
        </w:rPr>
        <w:t>Tuyên truyền, đào tạo:</w:t>
      </w:r>
      <w:r>
        <w:rPr>
          <w:rFonts w:ascii="Times New Roman" w:hAnsi="Times New Roman" w:eastAsia="Times New Roman"/>
          <w:b w:val="0"/>
          <w:i w:val="0"/>
          <w:sz w:val="26"/>
        </w:rPr>
        <w:t xml:space="preserve"> bồi dưỡng nguồn nhân lực pháp chế doanh nghiệp quốc phòng về hợp đồng quốc tế, FTA, trọng tài, thương mại xanh.</w:t>
      </w:r>
    </w:p>
    <w:p>
      <w:pPr>
        <w:spacing w:after="60" w:before="0" w:line="276" w:lineRule="auto"/>
        <w:ind w:firstLine="283"/>
        <w:jc w:val="both"/>
      </w:pPr>
      <w:r>
        <w:rPr>
          <w:rFonts w:ascii="Times New Roman" w:hAnsi="Times New Roman" w:eastAsia="Times New Roman"/>
          <w:b w:val="0"/>
          <w:i w:val="0"/>
          <w:sz w:val="26"/>
        </w:rPr>
        <w:t xml:space="preserve">3. </w:t>
      </w:r>
      <w:r>
        <w:rPr>
          <w:rFonts w:ascii="Times New Roman" w:hAnsi="Times New Roman" w:eastAsia="Times New Roman"/>
          <w:b/>
          <w:i w:val="0"/>
          <w:sz w:val="26"/>
        </w:rPr>
        <w:t>Ứng dụng CNTT:</w:t>
      </w:r>
      <w:r>
        <w:rPr>
          <w:rFonts w:ascii="Times New Roman" w:hAnsi="Times New Roman" w:eastAsia="Times New Roman"/>
          <w:b w:val="0"/>
          <w:i w:val="0"/>
          <w:sz w:val="26"/>
        </w:rPr>
        <w:t xml:space="preserve"> số hóa quản lý hợp đồng, chứng từ xuất xứ, truy xuất nguồn gốc sản phẩm PCCC và hàng xuất khẩu.</w:t>
      </w:r>
    </w:p>
    <w:p>
      <w:pPr>
        <w:spacing w:after="60" w:before="0" w:line="276" w:lineRule="auto"/>
        <w:ind w:firstLine="283"/>
        <w:jc w:val="both"/>
      </w:pPr>
      <w:r>
        <w:rPr>
          <w:rFonts w:ascii="Times New Roman" w:hAnsi="Times New Roman" w:eastAsia="Times New Roman"/>
          <w:b w:val="0"/>
          <w:i w:val="0"/>
          <w:sz w:val="26"/>
        </w:rPr>
        <w:t xml:space="preserve">4. </w:t>
      </w:r>
      <w:r>
        <w:rPr>
          <w:rFonts w:ascii="Times New Roman" w:hAnsi="Times New Roman" w:eastAsia="Times New Roman"/>
          <w:b/>
          <w:i w:val="0"/>
          <w:sz w:val="26"/>
        </w:rPr>
        <w:t>Thanh tra, kiểm tra, giám sát:</w:t>
      </w:r>
      <w:r>
        <w:rPr>
          <w:rFonts w:ascii="Times New Roman" w:hAnsi="Times New Roman" w:eastAsia="Times New Roman"/>
          <w:b w:val="0"/>
          <w:i w:val="0"/>
          <w:sz w:val="26"/>
        </w:rPr>
        <w:t xml:space="preserve"> theo hướng rủi ro, hỗ trợ tuân thủ, tránh chồng chéo đoàn kiểm tra.</w:t>
      </w:r>
    </w:p>
    <w:p>
      <w:pPr>
        <w:spacing w:after="60" w:before="0" w:line="276" w:lineRule="auto"/>
        <w:ind w:firstLine="283"/>
        <w:jc w:val="both"/>
      </w:pPr>
      <w:r>
        <w:rPr>
          <w:rFonts w:ascii="Times New Roman" w:hAnsi="Times New Roman" w:eastAsia="Times New Roman"/>
          <w:b w:val="0"/>
          <w:i w:val="0"/>
          <w:sz w:val="26"/>
        </w:rPr>
        <w:t xml:space="preserve">5. </w:t>
      </w:r>
      <w:r>
        <w:rPr>
          <w:rFonts w:ascii="Times New Roman" w:hAnsi="Times New Roman" w:eastAsia="Times New Roman"/>
          <w:b/>
          <w:i w:val="0"/>
          <w:sz w:val="26"/>
        </w:rPr>
        <w:t>Hỗ trợ tranh chấp:</w:t>
      </w:r>
      <w:r>
        <w:rPr>
          <w:rFonts w:ascii="Times New Roman" w:hAnsi="Times New Roman" w:eastAsia="Times New Roman"/>
          <w:b w:val="0"/>
          <w:i w:val="0"/>
          <w:sz w:val="26"/>
        </w:rPr>
        <w:t xml:space="preserve"> tăng cường hòa giải, trọng tài; phổ biến án lệ/kinh nghiệm giải quyết tranh chấp thương mại quốc tế.</w:t>
      </w:r>
    </w:p>
    <w:p>
      <w:pPr>
        <w:spacing w:after="120" w:before="200" w:line="276" w:lineRule="auto"/>
        <w:jc w:val="center"/>
      </w:pPr>
      <w:r>
        <w:rPr>
          <w:rFonts w:ascii="Times New Roman" w:hAnsi="Times New Roman" w:eastAsia="Times New Roman"/>
          <w:b/>
          <w:i w:val="0"/>
          <w:sz w:val="28"/>
        </w:rPr>
        <w:t>VI. CÁC NỘI DUNG KHÁC</w:t>
      </w:r>
    </w:p>
    <w:p>
      <w:pPr>
        <w:spacing w:after="60" w:before="0" w:line="276" w:lineRule="auto"/>
        <w:ind w:firstLine="283"/>
        <w:jc w:val="both"/>
      </w:pPr>
      <w:r>
        <w:rPr>
          <w:rFonts w:ascii="Times New Roman" w:hAnsi="Times New Roman" w:eastAsia="Times New Roman"/>
          <w:b w:val="0"/>
          <w:i w:val="0"/>
          <w:sz w:val="26"/>
        </w:rPr>
        <w:t>1. Đề nghị cơ quan chủ quản xem xét tổng hợp ý kiến của các doanh nghiệp trực thuộc để hình thành vị trí thống nhất của ngành công nghiệp quốc phòng khi góp ý hoàn thiện Luật Thương mại.</w:t>
      </w:r>
    </w:p>
    <w:p>
      <w:pPr>
        <w:spacing w:after="60" w:before="0" w:line="276" w:lineRule="auto"/>
        <w:ind w:firstLine="283"/>
        <w:jc w:val="both"/>
      </w:pPr>
      <w:r>
        <w:rPr>
          <w:rFonts w:ascii="Times New Roman" w:hAnsi="Times New Roman" w:eastAsia="Times New Roman"/>
          <w:b w:val="0"/>
          <w:i w:val="0"/>
          <w:sz w:val="26"/>
        </w:rPr>
        <w:t xml:space="preserve">2. Đề nghị có chuyên đề riêng về </w:t>
      </w:r>
      <w:r>
        <w:rPr>
          <w:rFonts w:ascii="Times New Roman" w:hAnsi="Times New Roman" w:eastAsia="Times New Roman"/>
          <w:b/>
          <w:i w:val="0"/>
          <w:sz w:val="26"/>
        </w:rPr>
        <w:t>doanh nghiệp quốc phòng tham gia hoạt động thương mại dân sự và xuất khẩu</w:t>
      </w:r>
      <w:r>
        <w:rPr>
          <w:rFonts w:ascii="Times New Roman" w:hAnsi="Times New Roman" w:eastAsia="Times New Roman"/>
          <w:b w:val="0"/>
          <w:i w:val="0"/>
          <w:sz w:val="26"/>
        </w:rPr>
        <w:t>, bảo đảm cân bằng giữa yêu cầu bảo mật – quốc phòng và yêu cầu hội nhập, cạnh tranh.</w:t>
      </w:r>
    </w:p>
    <w:p>
      <w:pPr>
        <w:spacing w:after="60" w:before="0" w:line="276" w:lineRule="auto"/>
        <w:ind w:firstLine="283"/>
        <w:jc w:val="both"/>
      </w:pPr>
      <w:r>
        <w:rPr>
          <w:rFonts w:ascii="Times New Roman" w:hAnsi="Times New Roman" w:eastAsia="Times New Roman"/>
          <w:b w:val="0"/>
          <w:i w:val="0"/>
          <w:sz w:val="26"/>
        </w:rPr>
        <w:t>3. Các phụ lục kèm theo:</w:t>
      </w:r>
    </w:p>
    <w:p>
      <w:pPr>
        <w:pStyle w:val="ListBullet"/>
        <w:spacing w:after="60" w:line="276" w:lineRule="auto"/>
        <w:jc w:val="both"/>
      </w:pPr>
      <w:r>
        <w:rPr>
          <w:rFonts w:ascii="Times New Roman" w:hAnsi="Times New Roman" w:eastAsia="Times New Roman"/>
          <w:b w:val="0"/>
          <w:i w:val="0"/>
          <w:sz w:val="26"/>
        </w:rPr>
        <w:t>Phụ lục A: Danh mục VBPL và nguồn tham khảo để đồng kiểm tra;</w:t>
      </w:r>
    </w:p>
    <w:p>
      <w:pPr>
        <w:pStyle w:val="ListBullet"/>
        <w:spacing w:after="60" w:line="276" w:lineRule="auto"/>
        <w:jc w:val="both"/>
      </w:pPr>
      <w:r>
        <w:rPr>
          <w:rFonts w:ascii="Times New Roman" w:hAnsi="Times New Roman" w:eastAsia="Times New Roman"/>
          <w:b w:val="0"/>
          <w:i w:val="0"/>
          <w:sz w:val="26"/>
        </w:rPr>
        <w:t>Phụ lục B: Biểu mẫu số liệu đề nghị Công ty điền bổ sung;</w:t>
      </w:r>
    </w:p>
    <w:p>
      <w:pPr>
        <w:pStyle w:val="ListBullet"/>
        <w:spacing w:after="60" w:line="276" w:lineRule="auto"/>
        <w:jc w:val="both"/>
      </w:pPr>
      <w:r>
        <w:rPr>
          <w:rFonts w:ascii="Times New Roman" w:hAnsi="Times New Roman" w:eastAsia="Times New Roman"/>
          <w:b w:val="0"/>
          <w:i w:val="0"/>
          <w:sz w:val="26"/>
        </w:rPr>
        <w:t>Phụ lục C: Bảng tổng hợp kiến nghị theo từng Chương.</w:t>
      </w:r>
    </w:p>
    <w:p>
      <w:pPr>
        <w:spacing w:after="120" w:before="200" w:line="276" w:lineRule="auto"/>
        <w:jc w:val="center"/>
      </w:pPr>
      <w:r>
        <w:rPr>
          <w:rFonts w:ascii="Times New Roman" w:hAnsi="Times New Roman" w:eastAsia="Times New Roman"/>
          <w:b/>
          <w:i w:val="0"/>
          <w:sz w:val="28"/>
        </w:rPr>
        <w:t>KẾT LUẬN</w:t>
      </w:r>
    </w:p>
    <w:p>
      <w:pPr>
        <w:spacing w:after="120" w:before="0" w:line="276" w:lineRule="auto"/>
        <w:ind w:firstLine="567"/>
        <w:jc w:val="both"/>
      </w:pPr>
      <w:r>
        <w:rPr>
          <w:rFonts w:ascii="Times New Roman" w:hAnsi="Times New Roman" w:eastAsia="Times New Roman"/>
          <w:b w:val="0"/>
          <w:i w:val="0"/>
          <w:sz w:val="26"/>
        </w:rPr>
        <w:t>Trong giai đoạn 2016–2026, Luật Thương mại năm 2005 và các văn bản hướng dẫn đã tạo khung pháp lý nền tảng để Công ty TNHH MTV Cơ khí 83 tổ chức các hoạt động mua bán hàng hóa, cung ứng dịch vụ/gia công, xúc tiến thương mại và xuất khẩu. Tuy nhiên, sự phát triển của hệ thống pháp luật chuyên ngành, cam kết FTA thế hệ mới và các mô hình kinh doanh mới đã làm lộ rõ hạn chế về tính đồng bộ, khả thi và mức độ hỗ trợ doanh nghiệp.</w:t>
      </w:r>
    </w:p>
    <w:p>
      <w:pPr>
        <w:spacing w:after="120" w:before="0" w:line="276" w:lineRule="auto"/>
        <w:ind w:firstLine="567"/>
        <w:jc w:val="both"/>
      </w:pPr>
      <w:r>
        <w:rPr>
          <w:rFonts w:ascii="Times New Roman" w:hAnsi="Times New Roman" w:eastAsia="Times New Roman"/>
          <w:b w:val="0"/>
          <w:i w:val="0"/>
          <w:sz w:val="26"/>
        </w:rPr>
        <w:t xml:space="preserve">Từ góc độ doanh nghiệp công nghiệp quốc phòng có hoạt động gia công cơ khí chính xác, kinh doanh thiết bị PCCC và xuất khẩu hộp sắt đa năng, Công ty kiến nghị </w:t>
      </w:r>
      <w:r>
        <w:rPr>
          <w:rFonts w:ascii="Times New Roman" w:hAnsi="Times New Roman" w:eastAsia="Times New Roman"/>
          <w:b/>
          <w:i w:val="0"/>
          <w:sz w:val="26"/>
        </w:rPr>
        <w:t>ban hành Luật Thương mại mới thay thế Luật năm 2005</w:t>
      </w:r>
      <w:r>
        <w:rPr>
          <w:rFonts w:ascii="Times New Roman" w:hAnsi="Times New Roman" w:eastAsia="Times New Roman"/>
          <w:b w:val="0"/>
          <w:i w:val="0"/>
          <w:sz w:val="26"/>
        </w:rPr>
        <w:t>, kèm rà soát chuyển giao chế định trùng lắp; đồng thời hoàn thiện quy định về gia công, logistics, xúc tiến xuất khẩu, chế tài chậm thanh toán, thương mại số và thương mại xanh; tăng cường phối hợp liên ngành để giảm chi phí tuân thủ và nâng cao năng lực cạnh tranh.</w:t>
      </w:r>
    </w:p>
    <w:p>
      <w:pPr>
        <w:spacing w:after="60" w:before="0" w:line="276" w:lineRule="auto"/>
      </w:pPr>
      <w:r>
        <w:rPr>
          <w:rFonts w:ascii="Times New Roman" w:hAnsi="Times New Roman" w:eastAsia="Times New Roman"/>
          <w:b/>
          <w:i w:val="0"/>
          <w:sz w:val="26"/>
        </w:rPr>
        <w:t>Nơi nhận:</w:t>
      </w:r>
    </w:p>
    <w:p>
      <w:pPr>
        <w:pStyle w:val="ListBullet"/>
        <w:spacing w:after="60" w:line="276" w:lineRule="auto"/>
        <w:jc w:val="both"/>
      </w:pPr>
      <w:r>
        <w:rPr>
          <w:rFonts w:ascii="Times New Roman" w:hAnsi="Times New Roman" w:eastAsia="Times New Roman"/>
          <w:b w:val="0"/>
          <w:i w:val="0"/>
          <w:sz w:val="26"/>
        </w:rPr>
        <w:t>Như trên;</w:t>
      </w:r>
    </w:p>
    <w:p>
      <w:pPr>
        <w:pStyle w:val="ListBullet"/>
        <w:spacing w:after="60" w:line="276" w:lineRule="auto"/>
        <w:jc w:val="both"/>
      </w:pPr>
      <w:r>
        <w:rPr>
          <w:rFonts w:ascii="Times New Roman" w:hAnsi="Times New Roman" w:eastAsia="Times New Roman"/>
          <w:b w:val="0"/>
          <w:i w:val="0"/>
          <w:sz w:val="26"/>
        </w:rPr>
        <w:t>Lưu: VT, [Đơn vị soạn].</w:t>
      </w:r>
    </w:p>
    <w:p>
      <w:pPr>
        <w:spacing w:after="120" w:before="0" w:line="276" w:lineRule="auto"/>
        <w:ind w:firstLine="567"/>
        <w:jc w:val="both"/>
      </w:pPr>
      <w:r>
        <w:rPr>
          <w:rFonts w:ascii="Times New Roman" w:hAnsi="Times New Roman" w:eastAsia="Times New Roman"/>
          <w:b/>
          <w:i w:val="0"/>
          <w:sz w:val="26"/>
        </w:rPr>
        <w:t>TM. BAN LÃNH ĐẠO CÔNG TY</w:t>
      </w:r>
    </w:p>
    <w:p>
      <w:pPr>
        <w:spacing w:after="120" w:before="0" w:line="276" w:lineRule="auto"/>
        <w:ind w:firstLine="567"/>
        <w:jc w:val="both"/>
      </w:pPr>
      <w:r>
        <w:rPr>
          <w:rFonts w:ascii="Times New Roman" w:hAnsi="Times New Roman" w:eastAsia="Times New Roman"/>
          <w:b w:val="0"/>
          <w:i w:val="0"/>
          <w:sz w:val="26"/>
        </w:rPr>
        <w:t>[Chức danh]</w:t>
      </w:r>
    </w:p>
    <w:p>
      <w:pPr>
        <w:spacing w:after="120" w:before="0" w:line="276" w:lineRule="auto"/>
        <w:ind w:firstLine="567"/>
        <w:jc w:val="both"/>
      </w:pPr>
      <w:r>
        <w:rPr>
          <w:rFonts w:ascii="Times New Roman" w:hAnsi="Times New Roman" w:eastAsia="Times New Roman"/>
          <w:b w:val="0"/>
          <w:i w:val="0"/>
          <w:sz w:val="26"/>
        </w:rPr>
        <w:t>[Họ và tên]</w:t>
      </w:r>
    </w:p>
    <w:p>
      <w:pPr>
        <w:spacing w:after="120" w:before="120" w:line="276" w:lineRule="auto"/>
        <w:jc w:val="center"/>
      </w:pPr>
      <w:r>
        <w:rPr>
          <w:rFonts w:ascii="Times New Roman" w:hAnsi="Times New Roman" w:eastAsia="Times New Roman"/>
          <w:b/>
          <w:i w:val="0"/>
          <w:sz w:val="32"/>
        </w:rPr>
        <w:t>PHỤ LỤC A</w:t>
      </w:r>
    </w:p>
    <w:p>
      <w:pPr>
        <w:spacing w:after="120" w:before="200" w:line="276" w:lineRule="auto"/>
        <w:jc w:val="center"/>
      </w:pPr>
      <w:r>
        <w:rPr>
          <w:rFonts w:ascii="Times New Roman" w:hAnsi="Times New Roman" w:eastAsia="Times New Roman"/>
          <w:b/>
          <w:i w:val="0"/>
          <w:sz w:val="28"/>
        </w:rPr>
        <w:t>DANH MỤC VĂN BẢN QUY PHẠM PHÁP LUẬT VÀ NGUỒN THAM KHẢO ĐỂ ĐỒNG KIỂM TRA</w:t>
      </w:r>
    </w:p>
    <w:p>
      <w:pPr>
        <w:spacing w:after="80" w:before="200" w:line="276" w:lineRule="auto"/>
      </w:pPr>
      <w:r>
        <w:rPr>
          <w:rFonts w:ascii="Times New Roman" w:hAnsi="Times New Roman" w:eastAsia="Times New Roman"/>
          <w:b/>
          <w:i w:val="0"/>
          <w:sz w:val="26"/>
        </w:rPr>
        <w:t>A. Văn bản trung tâm và đề cương tổng kết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E2F3" w:val="clear"/>
          </w:tcPr>
          <w:p>
            <w:pPr>
              <w:jc w:val="left"/>
            </w:pPr>
            <w:r/>
            <w:r>
              <w:rPr>
                <w:rFonts w:ascii="Times New Roman" w:hAnsi="Times New Roman" w:eastAsia="Times New Roman"/>
                <w:b/>
                <w:i w:val="0"/>
                <w:sz w:val="22"/>
              </w:rPr>
              <w:t>Mã chú thích</w:t>
            </w:r>
          </w:p>
        </w:tc>
        <w:tc>
          <w:tcPr>
            <w:tcW w:type="dxa" w:w="3024"/>
            <w:shd w:fill="D9E2F3" w:val="clear"/>
          </w:tcPr>
          <w:p>
            <w:pPr>
              <w:jc w:val="left"/>
            </w:pPr>
            <w:r/>
            <w:r>
              <w:rPr>
                <w:rFonts w:ascii="Times New Roman" w:hAnsi="Times New Roman" w:eastAsia="Times New Roman"/>
                <w:b/>
                <w:i w:val="0"/>
                <w:sz w:val="22"/>
              </w:rPr>
              <w:t>Văn bản / nguồn</w:t>
            </w:r>
          </w:p>
        </w:tc>
        <w:tc>
          <w:tcPr>
            <w:tcW w:type="dxa" w:w="3024"/>
            <w:shd w:fill="D9E2F3" w:val="clear"/>
          </w:tcPr>
          <w:p>
            <w:pPr>
              <w:jc w:val="left"/>
            </w:pPr>
            <w:r/>
            <w:r>
              <w:rPr>
                <w:rFonts w:ascii="Times New Roman" w:hAnsi="Times New Roman" w:eastAsia="Times New Roman"/>
                <w:b/>
                <w:i w:val="0"/>
                <w:sz w:val="22"/>
              </w:rPr>
              <w:t>Ghi chú tra cứu</w:t>
            </w:r>
          </w:p>
        </w:tc>
      </w:tr>
      <w:tr>
        <w:tc>
          <w:tcPr>
            <w:tcW w:type="dxa" w:w="3024"/>
          </w:tcPr>
          <w:p>
            <w:pPr>
              <w:jc w:val="left"/>
            </w:pPr>
            <w:r/>
            <w:r>
              <w:rPr>
                <w:rFonts w:ascii="Times New Roman" w:hAnsi="Times New Roman" w:eastAsia="Times New Roman"/>
                <w:b w:val="0"/>
                <w:i w:val="0"/>
                <w:sz w:val="22"/>
              </w:rPr>
              <w:t>[1]</w:t>
            </w:r>
          </w:p>
        </w:tc>
        <w:tc>
          <w:tcPr>
            <w:tcW w:type="dxa" w:w="3024"/>
          </w:tcPr>
          <w:p>
            <w:pPr>
              <w:jc w:val="left"/>
            </w:pPr>
            <w:r/>
            <w:r>
              <w:rPr>
                <w:rFonts w:ascii="Times New Roman" w:hAnsi="Times New Roman" w:eastAsia="Times New Roman"/>
                <w:b w:val="0"/>
                <w:i w:val="0"/>
                <w:sz w:val="22"/>
              </w:rPr>
              <w:t>Luật Thương mại số 36/2005/QH11 ngày 14/6/2005 (hiệu lực 01/01/2006)</w:t>
            </w:r>
          </w:p>
        </w:tc>
        <w:tc>
          <w:tcPr>
            <w:tcW w:type="dxa" w:w="3024"/>
          </w:tcPr>
          <w:p>
            <w:pPr>
              <w:jc w:val="left"/>
            </w:pPr>
            <w:r/>
            <w:r>
              <w:rPr>
                <w:rFonts w:ascii="Times New Roman" w:hAnsi="Times New Roman" w:eastAsia="Times New Roman"/>
                <w:b w:val="0"/>
                <w:i w:val="0"/>
                <w:sz w:val="22"/>
              </w:rPr>
              <w:t>Toàn văn trên CSDL quốc gia về VBQPPL (vbpl.vn) hoặc cổng thông tin chính thức</w:t>
            </w:r>
          </w:p>
        </w:tc>
      </w:tr>
      <w:tr>
        <w:tc>
          <w:tcPr>
            <w:tcW w:type="dxa" w:w="3024"/>
          </w:tcPr>
          <w:p>
            <w:pPr>
              <w:jc w:val="left"/>
            </w:pPr>
            <w:r/>
            <w:r>
              <w:rPr>
                <w:rFonts w:ascii="Times New Roman" w:hAnsi="Times New Roman" w:eastAsia="Times New Roman"/>
                <w:b w:val="0"/>
                <w:i w:val="0"/>
                <w:sz w:val="22"/>
              </w:rPr>
              <w:t>[2]</w:t>
            </w:r>
          </w:p>
        </w:tc>
        <w:tc>
          <w:tcPr>
            <w:tcW w:type="dxa" w:w="3024"/>
          </w:tcPr>
          <w:p>
            <w:pPr>
              <w:jc w:val="left"/>
            </w:pPr>
            <w:r/>
            <w:r>
              <w:rPr>
                <w:rFonts w:ascii="Times New Roman" w:hAnsi="Times New Roman" w:eastAsia="Times New Roman"/>
                <w:b w:val="0"/>
                <w:i w:val="0"/>
                <w:sz w:val="22"/>
              </w:rPr>
              <w:t>Công văn Bộ Công Thương về tổng kết Luật Thương mại 2005 kèm Phụ lục I, Phụ lục II; Kế hoạch 64/KH-UBTVQH16; khoản 3 Điều 59 Luật Ban hành VBQPPL năm 2025; Điều 9 Nghị định 80/2025/NĐ-CP</w:t>
            </w:r>
          </w:p>
        </w:tc>
        <w:tc>
          <w:tcPr>
            <w:tcW w:type="dxa" w:w="3024"/>
          </w:tcPr>
          <w:p>
            <w:pPr>
              <w:jc w:val="left"/>
            </w:pPr>
            <w:r/>
            <w:r>
              <w:rPr>
                <w:rFonts w:ascii="Times New Roman" w:hAnsi="Times New Roman" w:eastAsia="Times New Roman"/>
                <w:b w:val="0"/>
                <w:i w:val="0"/>
                <w:sz w:val="22"/>
              </w:rPr>
              <w:t>Đối chiếu file đề nghị các Bộ ngành tổng kết</w:t>
            </w:r>
          </w:p>
        </w:tc>
      </w:tr>
      <w:tr>
        <w:tc>
          <w:tcPr>
            <w:tcW w:type="dxa" w:w="3024"/>
          </w:tcPr>
          <w:p>
            <w:pPr>
              <w:jc w:val="left"/>
            </w:pPr>
            <w:r/>
            <w:r>
              <w:rPr>
                <w:rFonts w:ascii="Times New Roman" w:hAnsi="Times New Roman" w:eastAsia="Times New Roman"/>
                <w:b w:val="0"/>
                <w:i w:val="0"/>
                <w:sz w:val="22"/>
              </w:rPr>
              <w:t>[3]</w:t>
            </w:r>
          </w:p>
        </w:tc>
        <w:tc>
          <w:tcPr>
            <w:tcW w:type="dxa" w:w="3024"/>
          </w:tcPr>
          <w:p>
            <w:pPr>
              <w:jc w:val="left"/>
            </w:pPr>
            <w:r/>
            <w:r>
              <w:rPr>
                <w:rFonts w:ascii="Times New Roman" w:hAnsi="Times New Roman" w:eastAsia="Times New Roman"/>
                <w:b w:val="0"/>
                <w:i w:val="0"/>
                <w:sz w:val="22"/>
              </w:rPr>
              <w:t>Chương I (Điều 1–17) Luật Thương mại năm 2005</w:t>
            </w:r>
          </w:p>
        </w:tc>
        <w:tc>
          <w:tcPr>
            <w:tcW w:type="dxa" w:w="3024"/>
          </w:tcPr>
          <w:p>
            <w:pPr>
              <w:jc w:val="left"/>
            </w:pPr>
            <w:r/>
            <w:r>
              <w:rPr>
                <w:rFonts w:ascii="Times New Roman" w:hAnsi="Times New Roman" w:eastAsia="Times New Roman"/>
                <w:b w:val="0"/>
                <w:i w:val="0"/>
                <w:sz w:val="22"/>
              </w:rPr>
              <w:t>Quy định chung, thương nhân, nguyên tắc</w:t>
            </w:r>
          </w:p>
        </w:tc>
      </w:tr>
    </w:tbl>
    <w:p/>
    <w:p>
      <w:pPr>
        <w:spacing w:after="80" w:before="200" w:line="276" w:lineRule="auto"/>
      </w:pPr>
      <w:r>
        <w:rPr>
          <w:rFonts w:ascii="Times New Roman" w:hAnsi="Times New Roman" w:eastAsia="Times New Roman"/>
          <w:b/>
          <w:i w:val="0"/>
          <w:sz w:val="26"/>
        </w:rPr>
        <w:t>B. Nhóm văn bản thương mại – ngoại thương – xúc tiến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E2F3" w:val="clear"/>
          </w:tcPr>
          <w:p>
            <w:pPr>
              <w:jc w:val="left"/>
            </w:pPr>
            <w:r/>
            <w:r>
              <w:rPr>
                <w:rFonts w:ascii="Times New Roman" w:hAnsi="Times New Roman" w:eastAsia="Times New Roman"/>
                <w:b/>
                <w:i w:val="0"/>
                <w:sz w:val="22"/>
              </w:rPr>
              <w:t>Mã</w:t>
            </w:r>
          </w:p>
        </w:tc>
        <w:tc>
          <w:tcPr>
            <w:tcW w:type="dxa" w:w="3024"/>
            <w:shd w:fill="D9E2F3" w:val="clear"/>
          </w:tcPr>
          <w:p>
            <w:pPr>
              <w:jc w:val="left"/>
            </w:pPr>
            <w:r/>
            <w:r>
              <w:rPr>
                <w:rFonts w:ascii="Times New Roman" w:hAnsi="Times New Roman" w:eastAsia="Times New Roman"/>
                <w:b/>
                <w:i w:val="0"/>
                <w:sz w:val="22"/>
              </w:rPr>
              <w:t>Văn bản</w:t>
            </w:r>
          </w:p>
        </w:tc>
        <w:tc>
          <w:tcPr>
            <w:tcW w:type="dxa" w:w="3024"/>
            <w:shd w:fill="D9E2F3" w:val="clear"/>
          </w:tcPr>
          <w:p>
            <w:pPr>
              <w:jc w:val="left"/>
            </w:pPr>
            <w:r/>
            <w:r>
              <w:rPr>
                <w:rFonts w:ascii="Times New Roman" w:hAnsi="Times New Roman" w:eastAsia="Times New Roman"/>
                <w:b/>
                <w:i w:val="0"/>
                <w:sz w:val="22"/>
              </w:rPr>
              <w:t>Nội dung liên quan báo cáo</w:t>
            </w:r>
          </w:p>
        </w:tc>
      </w:tr>
      <w:tr>
        <w:tc>
          <w:tcPr>
            <w:tcW w:type="dxa" w:w="3024"/>
          </w:tcPr>
          <w:p>
            <w:pPr>
              <w:jc w:val="left"/>
            </w:pPr>
            <w:r/>
            <w:r>
              <w:rPr>
                <w:rFonts w:ascii="Times New Roman" w:hAnsi="Times New Roman" w:eastAsia="Times New Roman"/>
                <w:b w:val="0"/>
                <w:i w:val="0"/>
                <w:sz w:val="22"/>
              </w:rPr>
              <w:t>[4]</w:t>
            </w:r>
          </w:p>
        </w:tc>
        <w:tc>
          <w:tcPr>
            <w:tcW w:type="dxa" w:w="3024"/>
          </w:tcPr>
          <w:p>
            <w:pPr>
              <w:jc w:val="left"/>
            </w:pPr>
            <w:r/>
            <w:r>
              <w:rPr>
                <w:rFonts w:ascii="Times New Roman" w:hAnsi="Times New Roman" w:eastAsia="Times New Roman"/>
                <w:b w:val="0"/>
                <w:i w:val="0"/>
                <w:sz w:val="22"/>
              </w:rPr>
              <w:t>Nghị định số 37/2006/NĐ-CP ngày 15/4/2006 quy định chi tiết Luật Thương mại về hoạt động xúc tiến thương mại (và VB sửa đổi, bổ sung nếu có)</w:t>
            </w:r>
          </w:p>
        </w:tc>
        <w:tc>
          <w:tcPr>
            <w:tcW w:type="dxa" w:w="3024"/>
          </w:tcPr>
          <w:p>
            <w:pPr>
              <w:jc w:val="left"/>
            </w:pPr>
            <w:r/>
            <w:r>
              <w:rPr>
                <w:rFonts w:ascii="Times New Roman" w:hAnsi="Times New Roman" w:eastAsia="Times New Roman"/>
                <w:b w:val="0"/>
                <w:i w:val="0"/>
                <w:sz w:val="22"/>
              </w:rPr>
              <w:t>Chương IV</w:t>
            </w:r>
          </w:p>
        </w:tc>
      </w:tr>
      <w:tr>
        <w:tc>
          <w:tcPr>
            <w:tcW w:type="dxa" w:w="3024"/>
          </w:tcPr>
          <w:p>
            <w:pPr>
              <w:jc w:val="left"/>
            </w:pPr>
            <w:r/>
            <w:r>
              <w:rPr>
                <w:rFonts w:ascii="Times New Roman" w:hAnsi="Times New Roman" w:eastAsia="Times New Roman"/>
                <w:b w:val="0"/>
                <w:i w:val="0"/>
                <w:sz w:val="22"/>
              </w:rPr>
              <w:t>[5]</w:t>
            </w:r>
          </w:p>
        </w:tc>
        <w:tc>
          <w:tcPr>
            <w:tcW w:type="dxa" w:w="3024"/>
          </w:tcPr>
          <w:p>
            <w:pPr>
              <w:jc w:val="left"/>
            </w:pPr>
            <w:r/>
            <w:r>
              <w:rPr>
                <w:rFonts w:ascii="Times New Roman" w:hAnsi="Times New Roman" w:eastAsia="Times New Roman"/>
                <w:b w:val="0"/>
                <w:i w:val="0"/>
                <w:sz w:val="22"/>
              </w:rPr>
              <w:t>Nghị định số 81/2018/NĐ-CP ngày 22/5/2018 quy định chi tiết Luật Thương mại về hoạt động khuyến mại (và VB sửa đổi, bổ sung)</w:t>
            </w:r>
          </w:p>
        </w:tc>
        <w:tc>
          <w:tcPr>
            <w:tcW w:type="dxa" w:w="3024"/>
          </w:tcPr>
          <w:p>
            <w:pPr>
              <w:jc w:val="left"/>
            </w:pPr>
            <w:r/>
            <w:r>
              <w:rPr>
                <w:rFonts w:ascii="Times New Roman" w:hAnsi="Times New Roman" w:eastAsia="Times New Roman"/>
                <w:b w:val="0"/>
                <w:i w:val="0"/>
                <w:sz w:val="22"/>
              </w:rPr>
              <w:t>Khuyến mại</w:t>
            </w:r>
          </w:p>
        </w:tc>
      </w:tr>
      <w:tr>
        <w:tc>
          <w:tcPr>
            <w:tcW w:type="dxa" w:w="3024"/>
          </w:tcPr>
          <w:p>
            <w:pPr>
              <w:jc w:val="left"/>
            </w:pPr>
            <w:r/>
            <w:r>
              <w:rPr>
                <w:rFonts w:ascii="Times New Roman" w:hAnsi="Times New Roman" w:eastAsia="Times New Roman"/>
                <w:b w:val="0"/>
                <w:i w:val="0"/>
                <w:sz w:val="22"/>
              </w:rPr>
              <w:t>[9]</w:t>
            </w:r>
          </w:p>
        </w:tc>
        <w:tc>
          <w:tcPr>
            <w:tcW w:type="dxa" w:w="3024"/>
          </w:tcPr>
          <w:p>
            <w:pPr>
              <w:jc w:val="left"/>
            </w:pPr>
            <w:r/>
            <w:r>
              <w:rPr>
                <w:rFonts w:ascii="Times New Roman" w:hAnsi="Times New Roman" w:eastAsia="Times New Roman"/>
                <w:b w:val="0"/>
                <w:i w:val="0"/>
                <w:sz w:val="22"/>
              </w:rPr>
              <w:t>Luật Quản lý ngoại thương số 05/2017/QH14</w:t>
            </w:r>
          </w:p>
        </w:tc>
        <w:tc>
          <w:tcPr>
            <w:tcW w:type="dxa" w:w="3024"/>
          </w:tcPr>
          <w:p>
            <w:pPr>
              <w:jc w:val="left"/>
            </w:pPr>
            <w:r/>
            <w:r>
              <w:rPr>
                <w:rFonts w:ascii="Times New Roman" w:hAnsi="Times New Roman" w:eastAsia="Times New Roman"/>
                <w:b w:val="0"/>
                <w:i w:val="0"/>
                <w:sz w:val="22"/>
              </w:rPr>
              <w:t>Quản lý XNK, biện pháp ngoại thương</w:t>
            </w:r>
          </w:p>
        </w:tc>
      </w:tr>
      <w:tr>
        <w:tc>
          <w:tcPr>
            <w:tcW w:type="dxa" w:w="3024"/>
          </w:tcPr>
          <w:p>
            <w:pPr>
              <w:jc w:val="left"/>
            </w:pPr>
            <w:r/>
            <w:r>
              <w:rPr>
                <w:rFonts w:ascii="Times New Roman" w:hAnsi="Times New Roman" w:eastAsia="Times New Roman"/>
                <w:b w:val="0"/>
                <w:i w:val="0"/>
                <w:sz w:val="22"/>
              </w:rPr>
              <w:t>[10]</w:t>
            </w:r>
          </w:p>
        </w:tc>
        <w:tc>
          <w:tcPr>
            <w:tcW w:type="dxa" w:w="3024"/>
          </w:tcPr>
          <w:p>
            <w:pPr>
              <w:jc w:val="left"/>
            </w:pPr>
            <w:r/>
            <w:r>
              <w:rPr>
                <w:rFonts w:ascii="Times New Roman" w:hAnsi="Times New Roman" w:eastAsia="Times New Roman"/>
                <w:b w:val="0"/>
                <w:i w:val="0"/>
                <w:sz w:val="22"/>
              </w:rPr>
              <w:t>Nghị định số 69/2018/NĐ-CP ngày 15/5/2018 quy định chi tiết một số điều của Luật Quản lý ngoại thương</w:t>
            </w:r>
          </w:p>
        </w:tc>
        <w:tc>
          <w:tcPr>
            <w:tcW w:type="dxa" w:w="3024"/>
          </w:tcPr>
          <w:p>
            <w:pPr>
              <w:jc w:val="left"/>
            </w:pPr>
            <w:r/>
            <w:r>
              <w:rPr>
                <w:rFonts w:ascii="Times New Roman" w:hAnsi="Times New Roman" w:eastAsia="Times New Roman"/>
                <w:b w:val="0"/>
                <w:i w:val="0"/>
                <w:sz w:val="22"/>
              </w:rPr>
              <w:t>Thủ tục/chính sách XNK</w:t>
            </w:r>
          </w:p>
        </w:tc>
      </w:tr>
      <w:tr>
        <w:tc>
          <w:tcPr>
            <w:tcW w:type="dxa" w:w="3024"/>
          </w:tcPr>
          <w:p>
            <w:pPr>
              <w:jc w:val="left"/>
            </w:pPr>
            <w:r/>
            <w:r>
              <w:rPr>
                <w:rFonts w:ascii="Times New Roman" w:hAnsi="Times New Roman" w:eastAsia="Times New Roman"/>
                <w:b w:val="0"/>
                <w:i w:val="0"/>
                <w:sz w:val="22"/>
              </w:rPr>
              <w:t>[11]</w:t>
            </w:r>
          </w:p>
        </w:tc>
        <w:tc>
          <w:tcPr>
            <w:tcW w:type="dxa" w:w="3024"/>
          </w:tcPr>
          <w:p>
            <w:pPr>
              <w:jc w:val="left"/>
            </w:pPr>
            <w:r/>
            <w:r>
              <w:rPr>
                <w:rFonts w:ascii="Times New Roman" w:hAnsi="Times New Roman" w:eastAsia="Times New Roman"/>
                <w:b w:val="0"/>
                <w:i w:val="0"/>
                <w:sz w:val="22"/>
              </w:rPr>
              <w:t>Nghị định số 09/2018/NĐ-CP ngày 15/01/2018</w:t>
            </w:r>
          </w:p>
        </w:tc>
        <w:tc>
          <w:tcPr>
            <w:tcW w:type="dxa" w:w="3024"/>
          </w:tcPr>
          <w:p>
            <w:pPr>
              <w:jc w:val="left"/>
            </w:pPr>
            <w:r/>
            <w:r>
              <w:rPr>
                <w:rFonts w:ascii="Times New Roman" w:hAnsi="Times New Roman" w:eastAsia="Times New Roman"/>
                <w:b w:val="0"/>
                <w:i w:val="0"/>
                <w:sz w:val="22"/>
              </w:rPr>
              <w:t>Mua bán hàng hóa và hoạt động liên quan của NĐT nước ngoài, tổ chức kinh tế có vốn ĐTNN</w:t>
            </w:r>
          </w:p>
        </w:tc>
      </w:tr>
      <w:tr>
        <w:tc>
          <w:tcPr>
            <w:tcW w:type="dxa" w:w="3024"/>
          </w:tcPr>
          <w:p>
            <w:pPr>
              <w:jc w:val="left"/>
            </w:pPr>
            <w:r/>
            <w:r>
              <w:rPr>
                <w:rFonts w:ascii="Times New Roman" w:hAnsi="Times New Roman" w:eastAsia="Times New Roman"/>
                <w:b w:val="0"/>
                <w:i w:val="0"/>
                <w:sz w:val="22"/>
              </w:rPr>
              <w:t>[14]</w:t>
            </w:r>
          </w:p>
        </w:tc>
        <w:tc>
          <w:tcPr>
            <w:tcW w:type="dxa" w:w="3024"/>
          </w:tcPr>
          <w:p>
            <w:pPr>
              <w:jc w:val="left"/>
            </w:pPr>
            <w:r/>
            <w:r>
              <w:rPr>
                <w:rFonts w:ascii="Times New Roman" w:hAnsi="Times New Roman" w:eastAsia="Times New Roman"/>
                <w:b w:val="0"/>
                <w:i w:val="0"/>
                <w:sz w:val="22"/>
              </w:rPr>
              <w:t>Điều 178 và các điều liên quan về gia công trong thương mại – Luật Thương mại năm 2005</w:t>
            </w:r>
          </w:p>
        </w:tc>
        <w:tc>
          <w:tcPr>
            <w:tcW w:type="dxa" w:w="3024"/>
          </w:tcPr>
          <w:p>
            <w:pPr>
              <w:jc w:val="left"/>
            </w:pPr>
            <w:r/>
            <w:r>
              <w:rPr>
                <w:rFonts w:ascii="Times New Roman" w:hAnsi="Times New Roman" w:eastAsia="Times New Roman"/>
                <w:b w:val="0"/>
                <w:i w:val="0"/>
                <w:sz w:val="22"/>
              </w:rPr>
              <w:t>Gia công cơ khí</w:t>
            </w:r>
          </w:p>
        </w:tc>
      </w:tr>
      <w:tr>
        <w:tc>
          <w:tcPr>
            <w:tcW w:type="dxa" w:w="3024"/>
          </w:tcPr>
          <w:p>
            <w:pPr>
              <w:jc w:val="left"/>
            </w:pPr>
            <w:r/>
            <w:r>
              <w:rPr>
                <w:rFonts w:ascii="Times New Roman" w:hAnsi="Times New Roman" w:eastAsia="Times New Roman"/>
                <w:b w:val="0"/>
                <w:i w:val="0"/>
                <w:sz w:val="22"/>
              </w:rPr>
              <w:t>[15]</w:t>
            </w:r>
          </w:p>
        </w:tc>
        <w:tc>
          <w:tcPr>
            <w:tcW w:type="dxa" w:w="3024"/>
          </w:tcPr>
          <w:p>
            <w:pPr>
              <w:jc w:val="left"/>
            </w:pPr>
            <w:r/>
            <w:r>
              <w:rPr>
                <w:rFonts w:ascii="Times New Roman" w:hAnsi="Times New Roman" w:eastAsia="Times New Roman"/>
                <w:b w:val="0"/>
                <w:i w:val="0"/>
                <w:sz w:val="22"/>
              </w:rPr>
              <w:t>Điều 233 và các điều liên quan về dịch vụ logistics – Luật Thương mại năm 2005</w:t>
            </w:r>
          </w:p>
        </w:tc>
        <w:tc>
          <w:tcPr>
            <w:tcW w:type="dxa" w:w="3024"/>
          </w:tcPr>
          <w:p>
            <w:pPr>
              <w:jc w:val="left"/>
            </w:pPr>
            <w:r/>
            <w:r>
              <w:rPr>
                <w:rFonts w:ascii="Times New Roman" w:hAnsi="Times New Roman" w:eastAsia="Times New Roman"/>
                <w:b w:val="0"/>
                <w:i w:val="0"/>
                <w:sz w:val="22"/>
              </w:rPr>
              <w:t>Logistics xuất khẩu</w:t>
            </w:r>
          </w:p>
        </w:tc>
      </w:tr>
      <w:tr>
        <w:tc>
          <w:tcPr>
            <w:tcW w:type="dxa" w:w="3024"/>
          </w:tcPr>
          <w:p>
            <w:pPr>
              <w:jc w:val="left"/>
            </w:pPr>
            <w:r/>
            <w:r>
              <w:rPr>
                <w:rFonts w:ascii="Times New Roman" w:hAnsi="Times New Roman" w:eastAsia="Times New Roman"/>
                <w:b w:val="0"/>
                <w:i w:val="0"/>
                <w:sz w:val="22"/>
              </w:rPr>
              <w:t>[16]</w:t>
            </w:r>
          </w:p>
        </w:tc>
        <w:tc>
          <w:tcPr>
            <w:tcW w:type="dxa" w:w="3024"/>
          </w:tcPr>
          <w:p>
            <w:pPr>
              <w:jc w:val="left"/>
            </w:pPr>
            <w:r/>
            <w:r>
              <w:rPr>
                <w:rFonts w:ascii="Times New Roman" w:hAnsi="Times New Roman" w:eastAsia="Times New Roman"/>
                <w:b w:val="0"/>
                <w:i w:val="0"/>
                <w:sz w:val="22"/>
              </w:rPr>
              <w:t>Quyết định số 531/QĐ-TTg (nêu tại Phụ lục II công văn Bộ Công Thương)</w:t>
            </w:r>
          </w:p>
        </w:tc>
        <w:tc>
          <w:tcPr>
            <w:tcW w:type="dxa" w:w="3024"/>
          </w:tcPr>
          <w:p>
            <w:pPr>
              <w:jc w:val="left"/>
            </w:pPr>
            <w:r/>
            <w:r>
              <w:rPr>
                <w:rFonts w:ascii="Times New Roman" w:hAnsi="Times New Roman" w:eastAsia="Times New Roman"/>
                <w:b w:val="0"/>
                <w:i w:val="0"/>
                <w:sz w:val="22"/>
              </w:rPr>
              <w:t>Logistics/phân phối – đồng kiểm tra đúng tên gọi và ngày ban hành trên CSDL VBQPPL</w:t>
            </w:r>
          </w:p>
        </w:tc>
      </w:tr>
      <w:tr>
        <w:tc>
          <w:tcPr>
            <w:tcW w:type="dxa" w:w="3024"/>
          </w:tcPr>
          <w:p>
            <w:pPr>
              <w:jc w:val="left"/>
            </w:pPr>
            <w:r/>
            <w:r>
              <w:rPr>
                <w:rFonts w:ascii="Times New Roman" w:hAnsi="Times New Roman" w:eastAsia="Times New Roman"/>
                <w:b w:val="0"/>
                <w:i w:val="0"/>
                <w:sz w:val="22"/>
              </w:rPr>
              <w:t>[17]</w:t>
            </w:r>
          </w:p>
        </w:tc>
        <w:tc>
          <w:tcPr>
            <w:tcW w:type="dxa" w:w="3024"/>
          </w:tcPr>
          <w:p>
            <w:pPr>
              <w:jc w:val="left"/>
            </w:pPr>
            <w:r/>
            <w:r>
              <w:rPr>
                <w:rFonts w:ascii="Times New Roman" w:hAnsi="Times New Roman" w:eastAsia="Times New Roman"/>
                <w:b w:val="0"/>
                <w:i w:val="0"/>
                <w:sz w:val="22"/>
              </w:rPr>
              <w:t>Điều 292, Điều 300, Điều 302 và các điều liên quan Chương VII Luật Thương mại năm 2005</w:t>
            </w:r>
          </w:p>
        </w:tc>
        <w:tc>
          <w:tcPr>
            <w:tcW w:type="dxa" w:w="3024"/>
          </w:tcPr>
          <w:p>
            <w:pPr>
              <w:jc w:val="left"/>
            </w:pPr>
            <w:r/>
            <w:r>
              <w:rPr>
                <w:rFonts w:ascii="Times New Roman" w:hAnsi="Times New Roman" w:eastAsia="Times New Roman"/>
                <w:b w:val="0"/>
                <w:i w:val="0"/>
                <w:sz w:val="22"/>
              </w:rPr>
              <w:t>Chế tài thương mại</w:t>
            </w:r>
          </w:p>
        </w:tc>
      </w:tr>
      <w:tr>
        <w:tc>
          <w:tcPr>
            <w:tcW w:type="dxa" w:w="3024"/>
          </w:tcPr>
          <w:p>
            <w:pPr>
              <w:jc w:val="left"/>
            </w:pPr>
            <w:r/>
            <w:r>
              <w:rPr>
                <w:rFonts w:ascii="Times New Roman" w:hAnsi="Times New Roman" w:eastAsia="Times New Roman"/>
                <w:b w:val="0"/>
                <w:i w:val="0"/>
                <w:sz w:val="22"/>
              </w:rPr>
              <w:t>[18]</w:t>
            </w:r>
          </w:p>
        </w:tc>
        <w:tc>
          <w:tcPr>
            <w:tcW w:type="dxa" w:w="3024"/>
          </w:tcPr>
          <w:p>
            <w:pPr>
              <w:jc w:val="left"/>
            </w:pPr>
            <w:r/>
            <w:r>
              <w:rPr>
                <w:rFonts w:ascii="Times New Roman" w:hAnsi="Times New Roman" w:eastAsia="Times New Roman"/>
                <w:b w:val="0"/>
                <w:i w:val="0"/>
                <w:sz w:val="22"/>
              </w:rPr>
              <w:t>Luật Trọng tài thương mại số 54/2010/QH12; Bộ luật Tố tụng dân sự năm 2015 (sửa đổi, bổ sung)</w:t>
            </w:r>
          </w:p>
        </w:tc>
        <w:tc>
          <w:tcPr>
            <w:tcW w:type="dxa" w:w="3024"/>
          </w:tcPr>
          <w:p>
            <w:pPr>
              <w:jc w:val="left"/>
            </w:pPr>
            <w:r/>
            <w:r>
              <w:rPr>
                <w:rFonts w:ascii="Times New Roman" w:hAnsi="Times New Roman" w:eastAsia="Times New Roman"/>
                <w:b w:val="0"/>
                <w:i w:val="0"/>
                <w:sz w:val="22"/>
              </w:rPr>
              <w:t>Giải quyết tranh chấp</w:t>
            </w:r>
          </w:p>
        </w:tc>
      </w:tr>
      <w:tr>
        <w:tc>
          <w:tcPr>
            <w:tcW w:type="dxa" w:w="3024"/>
          </w:tcPr>
          <w:p>
            <w:pPr>
              <w:jc w:val="left"/>
            </w:pPr>
            <w:r/>
            <w:r>
              <w:rPr>
                <w:rFonts w:ascii="Times New Roman" w:hAnsi="Times New Roman" w:eastAsia="Times New Roman"/>
                <w:b w:val="0"/>
                <w:i w:val="0"/>
                <w:sz w:val="22"/>
              </w:rPr>
              <w:t>[20]</w:t>
            </w:r>
          </w:p>
        </w:tc>
        <w:tc>
          <w:tcPr>
            <w:tcW w:type="dxa" w:w="3024"/>
          </w:tcPr>
          <w:p>
            <w:pPr>
              <w:jc w:val="left"/>
            </w:pPr>
            <w:r/>
            <w:r>
              <w:rPr>
                <w:rFonts w:ascii="Times New Roman" w:hAnsi="Times New Roman" w:eastAsia="Times New Roman"/>
                <w:b w:val="0"/>
                <w:i w:val="0"/>
                <w:sz w:val="22"/>
              </w:rPr>
              <w:t>Nghị định số 98/2020/NĐ-CP ngày 26/8/2020 (sửa đổi, bổ sung) về xử phạt VPHC trong hoạt động thương mại…</w:t>
            </w:r>
          </w:p>
        </w:tc>
        <w:tc>
          <w:tcPr>
            <w:tcW w:type="dxa" w:w="3024"/>
          </w:tcPr>
          <w:p>
            <w:pPr>
              <w:jc w:val="left"/>
            </w:pPr>
            <w:r/>
            <w:r>
              <w:rPr>
                <w:rFonts w:ascii="Times New Roman" w:hAnsi="Times New Roman" w:eastAsia="Times New Roman"/>
                <w:b w:val="0"/>
                <w:i w:val="0"/>
                <w:sz w:val="22"/>
              </w:rPr>
              <w:t>Chương VIII</w:t>
            </w:r>
          </w:p>
        </w:tc>
      </w:tr>
    </w:tbl>
    <w:p/>
    <w:p>
      <w:pPr>
        <w:spacing w:after="80" w:before="200" w:line="276" w:lineRule="auto"/>
      </w:pPr>
      <w:r>
        <w:rPr>
          <w:rFonts w:ascii="Times New Roman" w:hAnsi="Times New Roman" w:eastAsia="Times New Roman"/>
          <w:b/>
          <w:i w:val="0"/>
          <w:sz w:val="26"/>
        </w:rPr>
        <w:t>C. Nhóm văn bản giao thoa</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E2F3" w:val="clear"/>
          </w:tcPr>
          <w:p>
            <w:pPr>
              <w:jc w:val="left"/>
            </w:pPr>
            <w:r/>
            <w:r>
              <w:rPr>
                <w:rFonts w:ascii="Times New Roman" w:hAnsi="Times New Roman" w:eastAsia="Times New Roman"/>
                <w:b/>
                <w:i w:val="0"/>
                <w:sz w:val="22"/>
              </w:rPr>
              <w:t>Mã</w:t>
            </w:r>
          </w:p>
        </w:tc>
        <w:tc>
          <w:tcPr>
            <w:tcW w:type="dxa" w:w="3024"/>
            <w:shd w:fill="D9E2F3" w:val="clear"/>
          </w:tcPr>
          <w:p>
            <w:pPr>
              <w:jc w:val="left"/>
            </w:pPr>
            <w:r/>
            <w:r>
              <w:rPr>
                <w:rFonts w:ascii="Times New Roman" w:hAnsi="Times New Roman" w:eastAsia="Times New Roman"/>
                <w:b/>
                <w:i w:val="0"/>
                <w:sz w:val="22"/>
              </w:rPr>
              <w:t>Văn bản</w:t>
            </w:r>
          </w:p>
        </w:tc>
        <w:tc>
          <w:tcPr>
            <w:tcW w:type="dxa" w:w="3024"/>
            <w:shd w:fill="D9E2F3" w:val="clear"/>
          </w:tcPr>
          <w:p>
            <w:pPr>
              <w:jc w:val="left"/>
            </w:pPr>
            <w:r/>
            <w:r>
              <w:rPr>
                <w:rFonts w:ascii="Times New Roman" w:hAnsi="Times New Roman" w:eastAsia="Times New Roman"/>
                <w:b/>
                <w:i w:val="0"/>
                <w:sz w:val="22"/>
              </w:rPr>
              <w:t>Nội dung liên quan</w:t>
            </w:r>
          </w:p>
        </w:tc>
      </w:tr>
      <w:tr>
        <w:tc>
          <w:tcPr>
            <w:tcW w:type="dxa" w:w="3024"/>
          </w:tcPr>
          <w:p>
            <w:pPr>
              <w:jc w:val="left"/>
            </w:pPr>
            <w:r/>
            <w:r>
              <w:rPr>
                <w:rFonts w:ascii="Times New Roman" w:hAnsi="Times New Roman" w:eastAsia="Times New Roman"/>
                <w:b w:val="0"/>
                <w:i w:val="0"/>
                <w:sz w:val="22"/>
              </w:rPr>
              <w:t>[6]</w:t>
            </w:r>
          </w:p>
        </w:tc>
        <w:tc>
          <w:tcPr>
            <w:tcW w:type="dxa" w:w="3024"/>
          </w:tcPr>
          <w:p>
            <w:pPr>
              <w:jc w:val="left"/>
            </w:pPr>
            <w:r/>
            <w:r>
              <w:rPr>
                <w:rFonts w:ascii="Times New Roman" w:hAnsi="Times New Roman" w:eastAsia="Times New Roman"/>
                <w:b w:val="0"/>
                <w:i w:val="0"/>
                <w:sz w:val="22"/>
              </w:rPr>
              <w:t>Bộ luật Dân sự số 91/2015/QH13</w:t>
            </w:r>
          </w:p>
        </w:tc>
        <w:tc>
          <w:tcPr>
            <w:tcW w:type="dxa" w:w="3024"/>
          </w:tcPr>
          <w:p>
            <w:pPr>
              <w:jc w:val="left"/>
            </w:pPr>
            <w:r/>
            <w:r>
              <w:rPr>
                <w:rFonts w:ascii="Times New Roman" w:hAnsi="Times New Roman" w:eastAsia="Times New Roman"/>
                <w:b w:val="0"/>
                <w:i w:val="0"/>
                <w:sz w:val="22"/>
              </w:rPr>
              <w:t>Hợp đồng, trách nhiệm dân sự</w:t>
            </w:r>
          </w:p>
        </w:tc>
      </w:tr>
      <w:tr>
        <w:tc>
          <w:tcPr>
            <w:tcW w:type="dxa" w:w="3024"/>
          </w:tcPr>
          <w:p>
            <w:pPr>
              <w:jc w:val="left"/>
            </w:pPr>
            <w:r/>
            <w:r>
              <w:rPr>
                <w:rFonts w:ascii="Times New Roman" w:hAnsi="Times New Roman" w:eastAsia="Times New Roman"/>
                <w:b w:val="0"/>
                <w:i w:val="0"/>
                <w:sz w:val="22"/>
              </w:rPr>
              <w:t>[7]</w:t>
            </w:r>
          </w:p>
        </w:tc>
        <w:tc>
          <w:tcPr>
            <w:tcW w:type="dxa" w:w="3024"/>
          </w:tcPr>
          <w:p>
            <w:pPr>
              <w:jc w:val="left"/>
            </w:pPr>
            <w:r/>
            <w:r>
              <w:rPr>
                <w:rFonts w:ascii="Times New Roman" w:hAnsi="Times New Roman" w:eastAsia="Times New Roman"/>
                <w:b w:val="0"/>
                <w:i w:val="0"/>
                <w:sz w:val="22"/>
              </w:rPr>
              <w:t>Luật Doanh nghiệp số 59/2020/QH14</w:t>
            </w:r>
          </w:p>
        </w:tc>
        <w:tc>
          <w:tcPr>
            <w:tcW w:type="dxa" w:w="3024"/>
          </w:tcPr>
          <w:p>
            <w:pPr>
              <w:jc w:val="left"/>
            </w:pPr>
            <w:r/>
            <w:r>
              <w:rPr>
                <w:rFonts w:ascii="Times New Roman" w:hAnsi="Times New Roman" w:eastAsia="Times New Roman"/>
                <w:b w:val="0"/>
                <w:i w:val="0"/>
                <w:sz w:val="22"/>
              </w:rPr>
              <w:t>Thương nhân là tổ chức; đại diện; quản trị</w:t>
            </w:r>
          </w:p>
        </w:tc>
      </w:tr>
      <w:tr>
        <w:tc>
          <w:tcPr>
            <w:tcW w:type="dxa" w:w="3024"/>
          </w:tcPr>
          <w:p>
            <w:pPr>
              <w:jc w:val="left"/>
            </w:pPr>
            <w:r/>
            <w:r>
              <w:rPr>
                <w:rFonts w:ascii="Times New Roman" w:hAnsi="Times New Roman" w:eastAsia="Times New Roman"/>
                <w:b w:val="0"/>
                <w:i w:val="0"/>
                <w:sz w:val="22"/>
              </w:rPr>
              <w:t>[8]</w:t>
            </w:r>
          </w:p>
        </w:tc>
        <w:tc>
          <w:tcPr>
            <w:tcW w:type="dxa" w:w="3024"/>
          </w:tcPr>
          <w:p>
            <w:pPr>
              <w:jc w:val="left"/>
            </w:pPr>
            <w:r/>
            <w:r>
              <w:rPr>
                <w:rFonts w:ascii="Times New Roman" w:hAnsi="Times New Roman" w:eastAsia="Times New Roman"/>
                <w:b w:val="0"/>
                <w:i w:val="0"/>
                <w:sz w:val="22"/>
              </w:rPr>
              <w:t>Luật Đầu tư số 61/2020/QH14</w:t>
            </w:r>
          </w:p>
        </w:tc>
        <w:tc>
          <w:tcPr>
            <w:tcW w:type="dxa" w:w="3024"/>
          </w:tcPr>
          <w:p>
            <w:pPr>
              <w:jc w:val="left"/>
            </w:pPr>
            <w:r/>
            <w:r>
              <w:rPr>
                <w:rFonts w:ascii="Times New Roman" w:hAnsi="Times New Roman" w:eastAsia="Times New Roman"/>
                <w:b w:val="0"/>
                <w:i w:val="0"/>
                <w:sz w:val="22"/>
              </w:rPr>
              <w:t>Ngành nghề có điều kiện; bảo đảm đầu tư</w:t>
            </w:r>
          </w:p>
        </w:tc>
      </w:tr>
      <w:tr>
        <w:tc>
          <w:tcPr>
            <w:tcW w:type="dxa" w:w="3024"/>
          </w:tcPr>
          <w:p>
            <w:pPr>
              <w:jc w:val="left"/>
            </w:pPr>
            <w:r/>
            <w:r>
              <w:rPr>
                <w:rFonts w:ascii="Times New Roman" w:hAnsi="Times New Roman" w:eastAsia="Times New Roman"/>
                <w:b w:val="0"/>
                <w:i w:val="0"/>
                <w:sz w:val="22"/>
              </w:rPr>
              <w:t>[12]</w:t>
            </w:r>
          </w:p>
        </w:tc>
        <w:tc>
          <w:tcPr>
            <w:tcW w:type="dxa" w:w="3024"/>
          </w:tcPr>
          <w:p>
            <w:pPr>
              <w:jc w:val="left"/>
            </w:pPr>
            <w:r/>
            <w:r>
              <w:rPr>
                <w:rFonts w:ascii="Times New Roman" w:hAnsi="Times New Roman" w:eastAsia="Times New Roman"/>
                <w:b w:val="0"/>
                <w:i w:val="0"/>
                <w:sz w:val="22"/>
              </w:rPr>
              <w:t>Luật PCCC năm 2001 (sửa đổi, bổ sung năm 2013); Luật Phòng cháy, chữa cháy và cứu nạn, cứu hộ năm 2024 và các nghị định hướng dẫn hiện hành</w:t>
            </w:r>
          </w:p>
        </w:tc>
        <w:tc>
          <w:tcPr>
            <w:tcW w:type="dxa" w:w="3024"/>
          </w:tcPr>
          <w:p>
            <w:pPr>
              <w:jc w:val="left"/>
            </w:pPr>
            <w:r/>
            <w:r>
              <w:rPr>
                <w:rFonts w:ascii="Times New Roman" w:hAnsi="Times New Roman" w:eastAsia="Times New Roman"/>
                <w:b w:val="0"/>
                <w:i w:val="0"/>
                <w:sz w:val="22"/>
              </w:rPr>
              <w:t>Điều kiện kinh doanh thiết bị/dịch vụ PCCC – đồng kiểm tra hiệu lực tại thời điểm hoàn thiện báo cáo</w:t>
            </w:r>
          </w:p>
        </w:tc>
      </w:tr>
      <w:tr>
        <w:tc>
          <w:tcPr>
            <w:tcW w:type="dxa" w:w="3024"/>
          </w:tcPr>
          <w:p>
            <w:pPr>
              <w:jc w:val="left"/>
            </w:pPr>
            <w:r/>
            <w:r>
              <w:rPr>
                <w:rFonts w:ascii="Times New Roman" w:hAnsi="Times New Roman" w:eastAsia="Times New Roman"/>
                <w:b w:val="0"/>
                <w:i w:val="0"/>
                <w:sz w:val="22"/>
              </w:rPr>
              <w:t>[21]</w:t>
            </w:r>
          </w:p>
        </w:tc>
        <w:tc>
          <w:tcPr>
            <w:tcW w:type="dxa" w:w="3024"/>
          </w:tcPr>
          <w:p>
            <w:pPr>
              <w:jc w:val="left"/>
            </w:pPr>
            <w:r/>
            <w:r>
              <w:rPr>
                <w:rFonts w:ascii="Times New Roman" w:hAnsi="Times New Roman" w:eastAsia="Times New Roman"/>
                <w:b w:val="0"/>
                <w:i w:val="0"/>
                <w:sz w:val="22"/>
              </w:rPr>
              <w:t>Luật Giao dịch điện tử số 20/2023/QH15</w:t>
            </w:r>
          </w:p>
        </w:tc>
        <w:tc>
          <w:tcPr>
            <w:tcW w:type="dxa" w:w="3024"/>
          </w:tcPr>
          <w:p>
            <w:pPr>
              <w:jc w:val="left"/>
            </w:pPr>
            <w:r/>
            <w:r>
              <w:rPr>
                <w:rFonts w:ascii="Times New Roman" w:hAnsi="Times New Roman" w:eastAsia="Times New Roman"/>
                <w:b w:val="0"/>
                <w:i w:val="0"/>
                <w:sz w:val="22"/>
              </w:rPr>
              <w:t>Hợp đồng/giao dịch điện tử</w:t>
            </w:r>
          </w:p>
        </w:tc>
      </w:tr>
    </w:tbl>
    <w:p/>
    <w:p>
      <w:pPr>
        <w:spacing w:after="80" w:before="200" w:line="276" w:lineRule="auto"/>
      </w:pPr>
      <w:r>
        <w:rPr>
          <w:rFonts w:ascii="Times New Roman" w:hAnsi="Times New Roman" w:eastAsia="Times New Roman"/>
          <w:b/>
          <w:i w:val="0"/>
          <w:sz w:val="26"/>
        </w:rPr>
        <w:t>D. Cam kết quốc tế và chủ trương</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E2F3" w:val="clear"/>
          </w:tcPr>
          <w:p>
            <w:pPr>
              <w:jc w:val="left"/>
            </w:pPr>
            <w:r/>
            <w:r>
              <w:rPr>
                <w:rFonts w:ascii="Times New Roman" w:hAnsi="Times New Roman" w:eastAsia="Times New Roman"/>
                <w:b/>
                <w:i w:val="0"/>
                <w:sz w:val="22"/>
              </w:rPr>
              <w:t>Mã</w:t>
            </w:r>
          </w:p>
        </w:tc>
        <w:tc>
          <w:tcPr>
            <w:tcW w:type="dxa" w:w="3024"/>
            <w:shd w:fill="D9E2F3" w:val="clear"/>
          </w:tcPr>
          <w:p>
            <w:pPr>
              <w:jc w:val="left"/>
            </w:pPr>
            <w:r/>
            <w:r>
              <w:rPr>
                <w:rFonts w:ascii="Times New Roman" w:hAnsi="Times New Roman" w:eastAsia="Times New Roman"/>
                <w:b/>
                <w:i w:val="0"/>
                <w:sz w:val="22"/>
              </w:rPr>
              <w:t>Nguồn</w:t>
            </w:r>
          </w:p>
        </w:tc>
        <w:tc>
          <w:tcPr>
            <w:tcW w:type="dxa" w:w="3024"/>
            <w:shd w:fill="D9E2F3" w:val="clear"/>
          </w:tcPr>
          <w:p>
            <w:pPr>
              <w:jc w:val="left"/>
            </w:pPr>
            <w:r/>
            <w:r>
              <w:rPr>
                <w:rFonts w:ascii="Times New Roman" w:hAnsi="Times New Roman" w:eastAsia="Times New Roman"/>
                <w:b/>
                <w:i w:val="0"/>
                <w:sz w:val="22"/>
              </w:rPr>
              <w:t>Ghi chú</w:t>
            </w:r>
          </w:p>
        </w:tc>
      </w:tr>
      <w:tr>
        <w:tc>
          <w:tcPr>
            <w:tcW w:type="dxa" w:w="3024"/>
          </w:tcPr>
          <w:p>
            <w:pPr>
              <w:jc w:val="left"/>
            </w:pPr>
            <w:r/>
            <w:r>
              <w:rPr>
                <w:rFonts w:ascii="Times New Roman" w:hAnsi="Times New Roman" w:eastAsia="Times New Roman"/>
                <w:b w:val="0"/>
                <w:i w:val="0"/>
                <w:sz w:val="22"/>
              </w:rPr>
              <w:t>[13]</w:t>
            </w:r>
          </w:p>
        </w:tc>
        <w:tc>
          <w:tcPr>
            <w:tcW w:type="dxa" w:w="3024"/>
          </w:tcPr>
          <w:p>
            <w:pPr>
              <w:jc w:val="left"/>
            </w:pPr>
            <w:r/>
            <w:r>
              <w:rPr>
                <w:rFonts w:ascii="Times New Roman" w:hAnsi="Times New Roman" w:eastAsia="Times New Roman"/>
                <w:b w:val="0"/>
                <w:i w:val="0"/>
                <w:sz w:val="22"/>
              </w:rPr>
              <w:t>Các FTA: ATIGA, CPTPP, EVFTA, RCEP, UKVFTA…</w:t>
            </w:r>
          </w:p>
        </w:tc>
        <w:tc>
          <w:tcPr>
            <w:tcW w:type="dxa" w:w="3024"/>
          </w:tcPr>
          <w:p>
            <w:pPr>
              <w:jc w:val="left"/>
            </w:pPr>
            <w:r/>
            <w:r>
              <w:rPr>
                <w:rFonts w:ascii="Times New Roman" w:hAnsi="Times New Roman" w:eastAsia="Times New Roman"/>
                <w:b w:val="0"/>
                <w:i w:val="0"/>
                <w:sz w:val="22"/>
              </w:rPr>
              <w:t>Tra cứu biểu thuế/quy tắc xuất xứ theo thị trường xuất khẩu thực tế của Công ty</w:t>
            </w:r>
          </w:p>
        </w:tc>
      </w:tr>
      <w:tr>
        <w:tc>
          <w:tcPr>
            <w:tcW w:type="dxa" w:w="3024"/>
          </w:tcPr>
          <w:p>
            <w:pPr>
              <w:jc w:val="left"/>
            </w:pPr>
            <w:r/>
            <w:r>
              <w:rPr>
                <w:rFonts w:ascii="Times New Roman" w:hAnsi="Times New Roman" w:eastAsia="Times New Roman"/>
                <w:b w:val="0"/>
                <w:i w:val="0"/>
                <w:sz w:val="22"/>
              </w:rPr>
              <w:t>[19]</w:t>
            </w:r>
          </w:p>
        </w:tc>
        <w:tc>
          <w:tcPr>
            <w:tcW w:type="dxa" w:w="3024"/>
          </w:tcPr>
          <w:p>
            <w:pPr>
              <w:jc w:val="left"/>
            </w:pPr>
            <w:r/>
            <w:r>
              <w:rPr>
                <w:rFonts w:ascii="Times New Roman" w:hAnsi="Times New Roman" w:eastAsia="Times New Roman"/>
                <w:b w:val="0"/>
                <w:i w:val="0"/>
                <w:sz w:val="22"/>
              </w:rPr>
              <w:t>Nghị quyết Đại hội XIII; Nghị quyết số 66-NQ/TW; Nghị quyết số 68-NQ/TW; Nghị quyết số 138/NQ-CP ngày 16/5/2025</w:t>
            </w:r>
          </w:p>
        </w:tc>
        <w:tc>
          <w:tcPr>
            <w:tcW w:type="dxa" w:w="3024"/>
          </w:tcPr>
          <w:p>
            <w:pPr>
              <w:jc w:val="left"/>
            </w:pPr>
            <w:r/>
            <w:r>
              <w:rPr>
                <w:rFonts w:ascii="Times New Roman" w:hAnsi="Times New Roman" w:eastAsia="Times New Roman"/>
                <w:b w:val="0"/>
                <w:i w:val="0"/>
                <w:sz w:val="22"/>
              </w:rPr>
              <w:t>Như dẫn chiếu tại Phụ lục II</w:t>
            </w:r>
          </w:p>
        </w:tc>
      </w:tr>
    </w:tbl>
    <w:p/>
    <w:p>
      <w:pPr>
        <w:spacing w:after="80" w:before="200" w:line="276" w:lineRule="auto"/>
      </w:pPr>
      <w:r>
        <w:rPr>
          <w:rFonts w:ascii="Times New Roman" w:hAnsi="Times New Roman" w:eastAsia="Times New Roman"/>
          <w:b/>
          <w:i w:val="0"/>
          <w:sz w:val="26"/>
        </w:rPr>
        <w:t>E. Hướng dẫn đồng kiểm tra nhanh theo điều khoản then chốt</w:t>
      </w:r>
    </w:p>
    <w:p>
      <w:pPr>
        <w:spacing w:after="120" w:before="0" w:line="276" w:lineRule="auto"/>
        <w:ind w:firstLine="567"/>
        <w:jc w:val="both"/>
      </w:pPr>
      <w:r>
        <w:rPr>
          <w:rFonts w:ascii="Times New Roman" w:hAnsi="Times New Roman" w:eastAsia="Times New Roman"/>
          <w:b w:val="0"/>
          <w:i w:val="0"/>
          <w:sz w:val="26"/>
        </w:rPr>
        <w:t>Khi kiểm tra nội dung báo cáo, ưu tiên đối chiếu các điểm sau trên văn bản gốc:</w:t>
      </w:r>
    </w:p>
    <w:p>
      <w:pPr>
        <w:spacing w:after="60" w:before="0" w:line="276" w:lineRule="auto"/>
        <w:ind w:firstLine="283"/>
        <w:jc w:val="both"/>
      </w:pPr>
      <w:r>
        <w:rPr>
          <w:rFonts w:ascii="Times New Roman" w:hAnsi="Times New Roman" w:eastAsia="Times New Roman"/>
          <w:b w:val="0"/>
          <w:i w:val="0"/>
          <w:sz w:val="26"/>
        </w:rPr>
        <w:t xml:space="preserve">1. </w:t>
      </w:r>
      <w:r>
        <w:rPr>
          <w:rFonts w:ascii="Times New Roman" w:hAnsi="Times New Roman" w:eastAsia="Times New Roman"/>
          <w:b/>
          <w:i w:val="0"/>
          <w:sz w:val="26"/>
        </w:rPr>
        <w:t>khoản 1 Điều 3</w:t>
      </w:r>
      <w:r>
        <w:rPr>
          <w:rFonts w:ascii="Times New Roman" w:hAnsi="Times New Roman" w:eastAsia="Times New Roman"/>
          <w:b w:val="0"/>
          <w:i w:val="0"/>
          <w:sz w:val="26"/>
        </w:rPr>
        <w:t xml:space="preserve"> Luật Thương mại năm 2005 – định nghĩa hoạt động thương mại;</w:t>
      </w:r>
    </w:p>
    <w:p>
      <w:pPr>
        <w:spacing w:after="60" w:before="0" w:line="276" w:lineRule="auto"/>
        <w:ind w:firstLine="283"/>
        <w:jc w:val="both"/>
      </w:pPr>
      <w:r>
        <w:rPr>
          <w:rFonts w:ascii="Times New Roman" w:hAnsi="Times New Roman" w:eastAsia="Times New Roman"/>
          <w:b w:val="0"/>
          <w:i w:val="0"/>
          <w:sz w:val="26"/>
        </w:rPr>
        <w:t xml:space="preserve">2. </w:t>
      </w:r>
      <w:r>
        <w:rPr>
          <w:rFonts w:ascii="Times New Roman" w:hAnsi="Times New Roman" w:eastAsia="Times New Roman"/>
          <w:b/>
          <w:i w:val="0"/>
          <w:sz w:val="26"/>
        </w:rPr>
        <w:t>Điều 5</w:t>
      </w:r>
      <w:r>
        <w:rPr>
          <w:rFonts w:ascii="Times New Roman" w:hAnsi="Times New Roman" w:eastAsia="Times New Roman"/>
          <w:b w:val="0"/>
          <w:i w:val="0"/>
          <w:sz w:val="26"/>
        </w:rPr>
        <w:t xml:space="preserve"> – điều ước quốc tế;</w:t>
      </w:r>
    </w:p>
    <w:p>
      <w:pPr>
        <w:spacing w:after="60" w:before="0" w:line="276" w:lineRule="auto"/>
        <w:ind w:firstLine="283"/>
        <w:jc w:val="both"/>
      </w:pPr>
      <w:r>
        <w:rPr>
          <w:rFonts w:ascii="Times New Roman" w:hAnsi="Times New Roman" w:eastAsia="Times New Roman"/>
          <w:b w:val="0"/>
          <w:i w:val="0"/>
          <w:sz w:val="26"/>
        </w:rPr>
        <w:t xml:space="preserve">3. </w:t>
      </w:r>
      <w:r>
        <w:rPr>
          <w:rFonts w:ascii="Times New Roman" w:hAnsi="Times New Roman" w:eastAsia="Times New Roman"/>
          <w:b/>
          <w:i w:val="0"/>
          <w:sz w:val="26"/>
        </w:rPr>
        <w:t>Điều 7</w:t>
      </w:r>
      <w:r>
        <w:rPr>
          <w:rFonts w:ascii="Times New Roman" w:hAnsi="Times New Roman" w:eastAsia="Times New Roman"/>
          <w:b w:val="0"/>
          <w:i w:val="0"/>
          <w:sz w:val="26"/>
        </w:rPr>
        <w:t xml:space="preserve"> – quyền kinh doanh thương mại;</w:t>
      </w:r>
    </w:p>
    <w:p>
      <w:pPr>
        <w:spacing w:after="60" w:before="0" w:line="276" w:lineRule="auto"/>
        <w:ind w:firstLine="283"/>
        <w:jc w:val="both"/>
      </w:pPr>
      <w:r>
        <w:rPr>
          <w:rFonts w:ascii="Times New Roman" w:hAnsi="Times New Roman" w:eastAsia="Times New Roman"/>
          <w:b w:val="0"/>
          <w:i w:val="0"/>
          <w:sz w:val="26"/>
        </w:rPr>
        <w:t xml:space="preserve">4. </w:t>
      </w:r>
      <w:r>
        <w:rPr>
          <w:rFonts w:ascii="Times New Roman" w:hAnsi="Times New Roman" w:eastAsia="Times New Roman"/>
          <w:b/>
          <w:i w:val="0"/>
          <w:sz w:val="26"/>
        </w:rPr>
        <w:t>Điều 27</w:t>
      </w:r>
      <w:r>
        <w:rPr>
          <w:rFonts w:ascii="Times New Roman" w:hAnsi="Times New Roman" w:eastAsia="Times New Roman"/>
          <w:b w:val="0"/>
          <w:i w:val="0"/>
          <w:sz w:val="26"/>
        </w:rPr>
        <w:t xml:space="preserve"> – hình thức mua bán hàng hóa quốc tế;</w:t>
      </w:r>
    </w:p>
    <w:p>
      <w:pPr>
        <w:spacing w:after="60" w:before="0" w:line="276" w:lineRule="auto"/>
        <w:ind w:firstLine="283"/>
        <w:jc w:val="both"/>
      </w:pPr>
      <w:r>
        <w:rPr>
          <w:rFonts w:ascii="Times New Roman" w:hAnsi="Times New Roman" w:eastAsia="Times New Roman"/>
          <w:b w:val="0"/>
          <w:i w:val="0"/>
          <w:sz w:val="26"/>
        </w:rPr>
        <w:t xml:space="preserve">5. </w:t>
      </w:r>
      <w:r>
        <w:rPr>
          <w:rFonts w:ascii="Times New Roman" w:hAnsi="Times New Roman" w:eastAsia="Times New Roman"/>
          <w:b/>
          <w:i w:val="0"/>
          <w:sz w:val="26"/>
        </w:rPr>
        <w:t>Điều 178</w:t>
      </w:r>
      <w:r>
        <w:rPr>
          <w:rFonts w:ascii="Times New Roman" w:hAnsi="Times New Roman" w:eastAsia="Times New Roman"/>
          <w:b w:val="0"/>
          <w:i w:val="0"/>
          <w:sz w:val="26"/>
        </w:rPr>
        <w:t xml:space="preserve"> – gia công;</w:t>
      </w:r>
    </w:p>
    <w:p>
      <w:pPr>
        <w:spacing w:after="60" w:before="0" w:line="276" w:lineRule="auto"/>
        <w:ind w:firstLine="283"/>
        <w:jc w:val="both"/>
      </w:pPr>
      <w:r>
        <w:rPr>
          <w:rFonts w:ascii="Times New Roman" w:hAnsi="Times New Roman" w:eastAsia="Times New Roman"/>
          <w:b w:val="0"/>
          <w:i w:val="0"/>
          <w:sz w:val="26"/>
        </w:rPr>
        <w:t xml:space="preserve">6. </w:t>
      </w:r>
      <w:r>
        <w:rPr>
          <w:rFonts w:ascii="Times New Roman" w:hAnsi="Times New Roman" w:eastAsia="Times New Roman"/>
          <w:b/>
          <w:i w:val="0"/>
          <w:sz w:val="26"/>
        </w:rPr>
        <w:t>Điều 233</w:t>
      </w:r>
      <w:r>
        <w:rPr>
          <w:rFonts w:ascii="Times New Roman" w:hAnsi="Times New Roman" w:eastAsia="Times New Roman"/>
          <w:b w:val="0"/>
          <w:i w:val="0"/>
          <w:sz w:val="26"/>
        </w:rPr>
        <w:t xml:space="preserve"> – dịch vụ logistics;</w:t>
      </w:r>
    </w:p>
    <w:p>
      <w:pPr>
        <w:spacing w:after="60" w:before="0" w:line="276" w:lineRule="auto"/>
        <w:ind w:firstLine="283"/>
        <w:jc w:val="both"/>
      </w:pPr>
      <w:r>
        <w:rPr>
          <w:rFonts w:ascii="Times New Roman" w:hAnsi="Times New Roman" w:eastAsia="Times New Roman"/>
          <w:b w:val="0"/>
          <w:i w:val="0"/>
          <w:sz w:val="26"/>
        </w:rPr>
        <w:t xml:space="preserve">7. </w:t>
      </w:r>
      <w:r>
        <w:rPr>
          <w:rFonts w:ascii="Times New Roman" w:hAnsi="Times New Roman" w:eastAsia="Times New Roman"/>
          <w:b/>
          <w:i w:val="0"/>
          <w:sz w:val="26"/>
        </w:rPr>
        <w:t>Điều 292, 300, 302</w:t>
      </w:r>
      <w:r>
        <w:rPr>
          <w:rFonts w:ascii="Times New Roman" w:hAnsi="Times New Roman" w:eastAsia="Times New Roman"/>
          <w:b w:val="0"/>
          <w:i w:val="0"/>
          <w:sz w:val="26"/>
        </w:rPr>
        <w:t xml:space="preserve"> – chế tài;</w:t>
      </w:r>
    </w:p>
    <w:p>
      <w:pPr>
        <w:spacing w:after="60" w:before="0" w:line="276" w:lineRule="auto"/>
        <w:ind w:firstLine="283"/>
        <w:jc w:val="both"/>
      </w:pPr>
      <w:r>
        <w:rPr>
          <w:rFonts w:ascii="Times New Roman" w:hAnsi="Times New Roman" w:eastAsia="Times New Roman"/>
          <w:b w:val="0"/>
          <w:i w:val="0"/>
          <w:sz w:val="26"/>
        </w:rPr>
        <w:t xml:space="preserve">8. Đối chiếu song song </w:t>
      </w:r>
      <w:r>
        <w:rPr>
          <w:rFonts w:ascii="Times New Roman" w:hAnsi="Times New Roman" w:eastAsia="Times New Roman"/>
          <w:b/>
          <w:i w:val="0"/>
          <w:sz w:val="26"/>
        </w:rPr>
        <w:t>Luật Quản lý ngoại thương 2017</w:t>
      </w:r>
      <w:r>
        <w:rPr>
          <w:rFonts w:ascii="Times New Roman" w:hAnsi="Times New Roman" w:eastAsia="Times New Roman"/>
          <w:b w:val="0"/>
          <w:i w:val="0"/>
          <w:sz w:val="26"/>
        </w:rPr>
        <w:t xml:space="preserve"> + </w:t>
      </w:r>
      <w:r>
        <w:rPr>
          <w:rFonts w:ascii="Times New Roman" w:hAnsi="Times New Roman" w:eastAsia="Times New Roman"/>
          <w:b/>
          <w:i w:val="0"/>
          <w:sz w:val="26"/>
        </w:rPr>
        <w:t>NĐ 69/2018/NĐ-CP</w:t>
      </w:r>
      <w:r>
        <w:rPr>
          <w:rFonts w:ascii="Times New Roman" w:hAnsi="Times New Roman" w:eastAsia="Times New Roman"/>
          <w:b w:val="0"/>
          <w:i w:val="0"/>
          <w:sz w:val="26"/>
        </w:rPr>
        <w:t xml:space="preserve"> với phần xuất khẩu;</w:t>
      </w:r>
    </w:p>
    <w:p>
      <w:pPr>
        <w:spacing w:after="60" w:before="0" w:line="276" w:lineRule="auto"/>
        <w:ind w:firstLine="283"/>
        <w:jc w:val="both"/>
      </w:pPr>
      <w:r>
        <w:rPr>
          <w:rFonts w:ascii="Times New Roman" w:hAnsi="Times New Roman" w:eastAsia="Times New Roman"/>
          <w:b w:val="0"/>
          <w:i w:val="0"/>
          <w:sz w:val="26"/>
        </w:rPr>
        <w:t xml:space="preserve">9. Đối chiếu </w:t>
      </w:r>
      <w:r>
        <w:rPr>
          <w:rFonts w:ascii="Times New Roman" w:hAnsi="Times New Roman" w:eastAsia="Times New Roman"/>
          <w:b/>
          <w:i w:val="0"/>
          <w:sz w:val="26"/>
        </w:rPr>
        <w:t>NĐ 81/2018/NĐ-CP</w:t>
      </w:r>
      <w:r>
        <w:rPr>
          <w:rFonts w:ascii="Times New Roman" w:hAnsi="Times New Roman" w:eastAsia="Times New Roman"/>
          <w:b w:val="0"/>
          <w:i w:val="0"/>
          <w:sz w:val="26"/>
        </w:rPr>
        <w:t xml:space="preserve">, </w:t>
      </w:r>
      <w:r>
        <w:rPr>
          <w:rFonts w:ascii="Times New Roman" w:hAnsi="Times New Roman" w:eastAsia="Times New Roman"/>
          <w:b/>
          <w:i w:val="0"/>
          <w:sz w:val="26"/>
        </w:rPr>
        <w:t>NĐ 37/2006/NĐ-CP</w:t>
      </w:r>
      <w:r>
        <w:rPr>
          <w:rFonts w:ascii="Times New Roman" w:hAnsi="Times New Roman" w:eastAsia="Times New Roman"/>
          <w:b w:val="0"/>
          <w:i w:val="0"/>
          <w:sz w:val="26"/>
        </w:rPr>
        <w:t xml:space="preserve"> với phần xúc tiến/khuyến mại;</w:t>
      </w:r>
    </w:p>
    <w:p>
      <w:pPr>
        <w:spacing w:after="60" w:before="0" w:line="276" w:lineRule="auto"/>
        <w:ind w:firstLine="283"/>
        <w:jc w:val="both"/>
      </w:pPr>
      <w:r>
        <w:rPr>
          <w:rFonts w:ascii="Times New Roman" w:hAnsi="Times New Roman" w:eastAsia="Times New Roman"/>
          <w:b w:val="0"/>
          <w:i w:val="0"/>
          <w:sz w:val="26"/>
        </w:rPr>
        <w:t>10. Đối chiếu pháp luật PCCC hiện hành với phần kinh doanh thiết bị PCCC.</w:t>
      </w:r>
    </w:p>
    <w:p>
      <w:pPr>
        <w:spacing w:after="80" w:before="0" w:line="276" w:lineRule="auto"/>
        <w:ind w:firstLine="283"/>
        <w:jc w:val="both"/>
      </w:pPr>
      <w:r>
        <w:rPr>
          <w:rFonts w:ascii="Times New Roman" w:hAnsi="Times New Roman" w:eastAsia="Times New Roman"/>
          <w:b/>
          <w:i/>
          <w:sz w:val="24"/>
        </w:rPr>
        <w:t>Lưu ý minh bạch:</w:t>
      </w:r>
      <w:r>
        <w:rPr>
          <w:rFonts w:ascii="Times New Roman" w:hAnsi="Times New Roman" w:eastAsia="Times New Roman"/>
          <w:b w:val="0"/>
          <w:i/>
          <w:sz w:val="24"/>
        </w:rPr>
        <w:t xml:space="preserve"> Một số nghị định hướng dẫn có thể đã được sửa đổi, bổ sung hoặc thay thế từng phần trong giai đoạn 2016–2026. Khi ban hành báo cáo chính thức, đề nghị bộ phận pháp chế Công ty kiểm tra </w:t>
      </w:r>
      <w:r>
        <w:rPr>
          <w:rFonts w:ascii="Times New Roman" w:hAnsi="Times New Roman" w:eastAsia="Times New Roman"/>
          <w:b/>
          <w:i/>
          <w:sz w:val="24"/>
        </w:rPr>
        <w:t>hiệu lực văn bản tại thời điểm ký</w:t>
      </w:r>
      <w:r>
        <w:rPr>
          <w:rFonts w:ascii="Times New Roman" w:hAnsi="Times New Roman" w:eastAsia="Times New Roman"/>
          <w:b w:val="0"/>
          <w:i/>
          <w:sz w:val="24"/>
        </w:rPr>
        <w:t xml:space="preserve"> trên CSDL quốc gia về VBQPPL (https://vbpl.vn) và cập nhật căn cứ mới nhất (đặc biệt nhóm PCCC và xử phạt VPHC).</w:t>
      </w:r>
    </w:p>
    <w:p>
      <w:pPr>
        <w:spacing w:after="120" w:before="120" w:line="276" w:lineRule="auto"/>
        <w:jc w:val="center"/>
      </w:pPr>
      <w:r>
        <w:rPr>
          <w:rFonts w:ascii="Times New Roman" w:hAnsi="Times New Roman" w:eastAsia="Times New Roman"/>
          <w:b/>
          <w:i w:val="0"/>
          <w:sz w:val="32"/>
        </w:rPr>
        <w:t>PHỤ LỤC B</w:t>
      </w:r>
    </w:p>
    <w:p>
      <w:pPr>
        <w:spacing w:after="120" w:before="200" w:line="276" w:lineRule="auto"/>
        <w:jc w:val="center"/>
      </w:pPr>
      <w:r>
        <w:rPr>
          <w:rFonts w:ascii="Times New Roman" w:hAnsi="Times New Roman" w:eastAsia="Times New Roman"/>
          <w:b/>
          <w:i w:val="0"/>
          <w:sz w:val="28"/>
        </w:rPr>
        <w:t>BIỂU MẪU SỐ LIỆU ĐỀ NGHỊ CÔNG TY ĐIỀN BỔ SUNG</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D9E2F3" w:val="clear"/>
          </w:tcPr>
          <w:p>
            <w:pPr>
              <w:jc w:val="left"/>
            </w:pPr>
            <w:r/>
            <w:r>
              <w:rPr>
                <w:rFonts w:ascii="Times New Roman" w:hAnsi="Times New Roman" w:eastAsia="Times New Roman"/>
                <w:b/>
                <w:i w:val="0"/>
                <w:sz w:val="22"/>
              </w:rPr>
              <w:t>STT</w:t>
            </w:r>
          </w:p>
        </w:tc>
        <w:tc>
          <w:tcPr>
            <w:tcW w:type="dxa" w:w="1296"/>
            <w:shd w:fill="D9E2F3" w:val="clear"/>
          </w:tcPr>
          <w:p>
            <w:pPr>
              <w:jc w:val="left"/>
            </w:pPr>
            <w:r/>
            <w:r>
              <w:rPr>
                <w:rFonts w:ascii="Times New Roman" w:hAnsi="Times New Roman" w:eastAsia="Times New Roman"/>
                <w:b/>
                <w:i w:val="0"/>
                <w:sz w:val="22"/>
              </w:rPr>
              <w:t>Chỉ tiêu</w:t>
            </w:r>
          </w:p>
        </w:tc>
        <w:tc>
          <w:tcPr>
            <w:tcW w:type="dxa" w:w="1296"/>
            <w:shd w:fill="D9E2F3" w:val="clear"/>
          </w:tcPr>
          <w:p>
            <w:pPr>
              <w:jc w:val="left"/>
            </w:pPr>
            <w:r/>
            <w:r>
              <w:rPr>
                <w:rFonts w:ascii="Times New Roman" w:hAnsi="Times New Roman" w:eastAsia="Times New Roman"/>
                <w:b/>
                <w:i w:val="0"/>
                <w:sz w:val="22"/>
              </w:rPr>
              <w:t>Đơn vị</w:t>
            </w:r>
          </w:p>
        </w:tc>
        <w:tc>
          <w:tcPr>
            <w:tcW w:type="dxa" w:w="1296"/>
            <w:shd w:fill="D9E2F3" w:val="clear"/>
          </w:tcPr>
          <w:p>
            <w:pPr>
              <w:jc w:val="left"/>
            </w:pPr>
            <w:r/>
            <w:r>
              <w:rPr>
                <w:rFonts w:ascii="Times New Roman" w:hAnsi="Times New Roman" w:eastAsia="Times New Roman"/>
                <w:b/>
                <w:i w:val="0"/>
                <w:sz w:val="22"/>
              </w:rPr>
              <w:t>2016–2020</w:t>
            </w:r>
          </w:p>
        </w:tc>
        <w:tc>
          <w:tcPr>
            <w:tcW w:type="dxa" w:w="1296"/>
            <w:shd w:fill="D9E2F3" w:val="clear"/>
          </w:tcPr>
          <w:p>
            <w:pPr>
              <w:jc w:val="left"/>
            </w:pPr>
            <w:r/>
            <w:r>
              <w:rPr>
                <w:rFonts w:ascii="Times New Roman" w:hAnsi="Times New Roman" w:eastAsia="Times New Roman"/>
                <w:b/>
                <w:i w:val="0"/>
                <w:sz w:val="22"/>
              </w:rPr>
              <w:t>2021–2023</w:t>
            </w:r>
          </w:p>
        </w:tc>
        <w:tc>
          <w:tcPr>
            <w:tcW w:type="dxa" w:w="1296"/>
            <w:shd w:fill="D9E2F3" w:val="clear"/>
          </w:tcPr>
          <w:p>
            <w:pPr>
              <w:jc w:val="left"/>
            </w:pPr>
            <w:r/>
            <w:r>
              <w:rPr>
                <w:rFonts w:ascii="Times New Roman" w:hAnsi="Times New Roman" w:eastAsia="Times New Roman"/>
                <w:b/>
                <w:i w:val="0"/>
                <w:sz w:val="22"/>
              </w:rPr>
              <w:t>2024–2026</w:t>
            </w:r>
          </w:p>
        </w:tc>
        <w:tc>
          <w:tcPr>
            <w:tcW w:type="dxa" w:w="1296"/>
            <w:shd w:fill="D9E2F3" w:val="clear"/>
          </w:tcPr>
          <w:p>
            <w:pPr>
              <w:jc w:val="left"/>
            </w:pPr>
            <w:r/>
            <w:r>
              <w:rPr>
                <w:rFonts w:ascii="Times New Roman" w:hAnsi="Times New Roman" w:eastAsia="Times New Roman"/>
                <w:b/>
                <w:i w:val="0"/>
                <w:sz w:val="22"/>
              </w:rPr>
              <w:t>Ghi chú</w:t>
            </w:r>
          </w:p>
        </w:tc>
      </w:tr>
      <w:tr>
        <w:tc>
          <w:tcPr>
            <w:tcW w:type="dxa" w:w="1296"/>
          </w:tcPr>
          <w:p>
            <w:pPr>
              <w:jc w:val="left"/>
            </w:pPr>
            <w:r/>
            <w:r>
              <w:rPr>
                <w:rFonts w:ascii="Times New Roman" w:hAnsi="Times New Roman" w:eastAsia="Times New Roman"/>
                <w:b w:val="0"/>
                <w:i w:val="0"/>
                <w:sz w:val="22"/>
              </w:rPr>
              <w:t>1</w:t>
            </w:r>
          </w:p>
        </w:tc>
        <w:tc>
          <w:tcPr>
            <w:tcW w:type="dxa" w:w="1296"/>
          </w:tcPr>
          <w:p>
            <w:pPr>
              <w:jc w:val="left"/>
            </w:pPr>
            <w:r/>
            <w:r>
              <w:rPr>
                <w:rFonts w:ascii="Times New Roman" w:hAnsi="Times New Roman" w:eastAsia="Times New Roman"/>
                <w:b w:val="0"/>
                <w:i w:val="0"/>
                <w:sz w:val="22"/>
              </w:rPr>
              <w:t>Doanh thu hợp nhất</w:t>
            </w:r>
          </w:p>
        </w:tc>
        <w:tc>
          <w:tcPr>
            <w:tcW w:type="dxa" w:w="1296"/>
          </w:tcPr>
          <w:p>
            <w:pPr>
              <w:jc w:val="left"/>
            </w:pPr>
            <w:r/>
            <w:r>
              <w:rPr>
                <w:rFonts w:ascii="Times New Roman" w:hAnsi="Times New Roman" w:eastAsia="Times New Roman"/>
                <w:b w:val="0"/>
                <w:i w:val="0"/>
                <w:sz w:val="22"/>
              </w:rPr>
              <w:t>tỷ đồng</w:t>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r>
      <w:tr>
        <w:tc>
          <w:tcPr>
            <w:tcW w:type="dxa" w:w="1296"/>
          </w:tcPr>
          <w:p>
            <w:pPr>
              <w:jc w:val="left"/>
            </w:pPr>
            <w:r/>
            <w:r>
              <w:rPr>
                <w:rFonts w:ascii="Times New Roman" w:hAnsi="Times New Roman" w:eastAsia="Times New Roman"/>
                <w:b w:val="0"/>
                <w:i w:val="0"/>
                <w:sz w:val="22"/>
              </w:rPr>
              <w:t>2</w:t>
            </w:r>
          </w:p>
        </w:tc>
        <w:tc>
          <w:tcPr>
            <w:tcW w:type="dxa" w:w="1296"/>
          </w:tcPr>
          <w:p>
            <w:pPr>
              <w:jc w:val="left"/>
            </w:pPr>
            <w:r/>
            <w:r>
              <w:rPr>
                <w:rFonts w:ascii="Times New Roman" w:hAnsi="Times New Roman" w:eastAsia="Times New Roman"/>
                <w:b w:val="0"/>
                <w:i w:val="0"/>
                <w:sz w:val="22"/>
              </w:rPr>
              <w:t>Doanh thu kinh doanh thiết bị PCCC</w:t>
            </w:r>
          </w:p>
        </w:tc>
        <w:tc>
          <w:tcPr>
            <w:tcW w:type="dxa" w:w="1296"/>
          </w:tcPr>
          <w:p>
            <w:pPr>
              <w:jc w:val="left"/>
            </w:pPr>
            <w:r/>
            <w:r>
              <w:rPr>
                <w:rFonts w:ascii="Times New Roman" w:hAnsi="Times New Roman" w:eastAsia="Times New Roman"/>
                <w:b w:val="0"/>
                <w:i w:val="0"/>
                <w:sz w:val="22"/>
              </w:rPr>
              <w:t>tỷ đồng</w:t>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r>
      <w:tr>
        <w:tc>
          <w:tcPr>
            <w:tcW w:type="dxa" w:w="1296"/>
          </w:tcPr>
          <w:p>
            <w:pPr>
              <w:jc w:val="left"/>
            </w:pPr>
            <w:r/>
            <w:r>
              <w:rPr>
                <w:rFonts w:ascii="Times New Roman" w:hAnsi="Times New Roman" w:eastAsia="Times New Roman"/>
                <w:b w:val="0"/>
                <w:i w:val="0"/>
                <w:sz w:val="22"/>
              </w:rPr>
              <w:t>3</w:t>
            </w:r>
          </w:p>
        </w:tc>
        <w:tc>
          <w:tcPr>
            <w:tcW w:type="dxa" w:w="1296"/>
          </w:tcPr>
          <w:p>
            <w:pPr>
              <w:jc w:val="left"/>
            </w:pPr>
            <w:r/>
            <w:r>
              <w:rPr>
                <w:rFonts w:ascii="Times New Roman" w:hAnsi="Times New Roman" w:eastAsia="Times New Roman"/>
                <w:b w:val="0"/>
                <w:i w:val="0"/>
                <w:sz w:val="22"/>
              </w:rPr>
              <w:t>Doanh thu gia công cơ khí chính xác</w:t>
            </w:r>
          </w:p>
        </w:tc>
        <w:tc>
          <w:tcPr>
            <w:tcW w:type="dxa" w:w="1296"/>
          </w:tcPr>
          <w:p>
            <w:pPr>
              <w:jc w:val="left"/>
            </w:pPr>
            <w:r/>
            <w:r>
              <w:rPr>
                <w:rFonts w:ascii="Times New Roman" w:hAnsi="Times New Roman" w:eastAsia="Times New Roman"/>
                <w:b w:val="0"/>
                <w:i w:val="0"/>
                <w:sz w:val="22"/>
              </w:rPr>
              <w:t>tỷ đồng</w:t>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r>
      <w:tr>
        <w:tc>
          <w:tcPr>
            <w:tcW w:type="dxa" w:w="1296"/>
          </w:tcPr>
          <w:p>
            <w:pPr>
              <w:jc w:val="left"/>
            </w:pPr>
            <w:r/>
            <w:r>
              <w:rPr>
                <w:rFonts w:ascii="Times New Roman" w:hAnsi="Times New Roman" w:eastAsia="Times New Roman"/>
                <w:b w:val="0"/>
                <w:i w:val="0"/>
                <w:sz w:val="22"/>
              </w:rPr>
              <w:t>4</w:t>
            </w:r>
          </w:p>
        </w:tc>
        <w:tc>
          <w:tcPr>
            <w:tcW w:type="dxa" w:w="1296"/>
          </w:tcPr>
          <w:p>
            <w:pPr>
              <w:jc w:val="left"/>
            </w:pPr>
            <w:r/>
            <w:r>
              <w:rPr>
                <w:rFonts w:ascii="Times New Roman" w:hAnsi="Times New Roman" w:eastAsia="Times New Roman"/>
                <w:b w:val="0"/>
                <w:i w:val="0"/>
                <w:sz w:val="22"/>
              </w:rPr>
              <w:t>Kim ngạch xuất khẩu hộp sắt đa năng</w:t>
            </w:r>
          </w:p>
        </w:tc>
        <w:tc>
          <w:tcPr>
            <w:tcW w:type="dxa" w:w="1296"/>
          </w:tcPr>
          <w:p>
            <w:pPr>
              <w:jc w:val="left"/>
            </w:pPr>
            <w:r/>
            <w:r>
              <w:rPr>
                <w:rFonts w:ascii="Times New Roman" w:hAnsi="Times New Roman" w:eastAsia="Times New Roman"/>
                <w:b w:val="0"/>
                <w:i w:val="0"/>
                <w:sz w:val="22"/>
              </w:rPr>
              <w:t>nghìn USD</w:t>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r>
      <w:tr>
        <w:tc>
          <w:tcPr>
            <w:tcW w:type="dxa" w:w="1296"/>
          </w:tcPr>
          <w:p>
            <w:pPr>
              <w:jc w:val="left"/>
            </w:pPr>
            <w:r/>
            <w:r>
              <w:rPr>
                <w:rFonts w:ascii="Times New Roman" w:hAnsi="Times New Roman" w:eastAsia="Times New Roman"/>
                <w:b w:val="0"/>
                <w:i w:val="0"/>
                <w:sz w:val="22"/>
              </w:rPr>
              <w:t>5</w:t>
            </w:r>
          </w:p>
        </w:tc>
        <w:tc>
          <w:tcPr>
            <w:tcW w:type="dxa" w:w="1296"/>
          </w:tcPr>
          <w:p>
            <w:pPr>
              <w:jc w:val="left"/>
            </w:pPr>
            <w:r/>
            <w:r>
              <w:rPr>
                <w:rFonts w:ascii="Times New Roman" w:hAnsi="Times New Roman" w:eastAsia="Times New Roman"/>
                <w:b w:val="0"/>
                <w:i w:val="0"/>
                <w:sz w:val="22"/>
              </w:rPr>
              <w:t>Thị trường xuất khẩu chính</w:t>
            </w:r>
          </w:p>
        </w:tc>
        <w:tc>
          <w:tcPr>
            <w:tcW w:type="dxa" w:w="1296"/>
          </w:tcPr>
          <w:p>
            <w:pPr>
              <w:jc w:val="left"/>
            </w:pPr>
            <w:r/>
            <w:r>
              <w:rPr>
                <w:rFonts w:ascii="Times New Roman" w:hAnsi="Times New Roman" w:eastAsia="Times New Roman"/>
                <w:b w:val="0"/>
                <w:i w:val="0"/>
                <w:sz w:val="22"/>
              </w:rPr>
              <w:t>quốc gia</w:t>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r>
      <w:tr>
        <w:tc>
          <w:tcPr>
            <w:tcW w:type="dxa" w:w="1296"/>
          </w:tcPr>
          <w:p>
            <w:pPr>
              <w:jc w:val="left"/>
            </w:pPr>
            <w:r/>
            <w:r>
              <w:rPr>
                <w:rFonts w:ascii="Times New Roman" w:hAnsi="Times New Roman" w:eastAsia="Times New Roman"/>
                <w:b w:val="0"/>
                <w:i w:val="0"/>
                <w:sz w:val="22"/>
              </w:rPr>
              <w:t>6</w:t>
            </w:r>
          </w:p>
        </w:tc>
        <w:tc>
          <w:tcPr>
            <w:tcW w:type="dxa" w:w="1296"/>
          </w:tcPr>
          <w:p>
            <w:pPr>
              <w:jc w:val="left"/>
            </w:pPr>
            <w:r/>
            <w:r>
              <w:rPr>
                <w:rFonts w:ascii="Times New Roman" w:hAnsi="Times New Roman" w:eastAsia="Times New Roman"/>
                <w:b w:val="0"/>
                <w:i w:val="0"/>
                <w:sz w:val="22"/>
              </w:rPr>
              <w:t>Số hợp đồng có yếu tố nước ngoài</w:t>
            </w:r>
          </w:p>
        </w:tc>
        <w:tc>
          <w:tcPr>
            <w:tcW w:type="dxa" w:w="1296"/>
          </w:tcPr>
          <w:p>
            <w:pPr>
              <w:jc w:val="left"/>
            </w:pPr>
            <w:r/>
            <w:r>
              <w:rPr>
                <w:rFonts w:ascii="Times New Roman" w:hAnsi="Times New Roman" w:eastAsia="Times New Roman"/>
                <w:b w:val="0"/>
                <w:i w:val="0"/>
                <w:sz w:val="22"/>
              </w:rPr>
              <w:t>hợp đồng</w:t>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r>
      <w:tr>
        <w:tc>
          <w:tcPr>
            <w:tcW w:type="dxa" w:w="1296"/>
          </w:tcPr>
          <w:p>
            <w:pPr>
              <w:jc w:val="left"/>
            </w:pPr>
            <w:r/>
            <w:r>
              <w:rPr>
                <w:rFonts w:ascii="Times New Roman" w:hAnsi="Times New Roman" w:eastAsia="Times New Roman"/>
                <w:b w:val="0"/>
                <w:i w:val="0"/>
                <w:sz w:val="22"/>
              </w:rPr>
              <w:t>7</w:t>
            </w:r>
          </w:p>
        </w:tc>
        <w:tc>
          <w:tcPr>
            <w:tcW w:type="dxa" w:w="1296"/>
          </w:tcPr>
          <w:p>
            <w:pPr>
              <w:jc w:val="left"/>
            </w:pPr>
            <w:r/>
            <w:r>
              <w:rPr>
                <w:rFonts w:ascii="Times New Roman" w:hAnsi="Times New Roman" w:eastAsia="Times New Roman"/>
                <w:b w:val="0"/>
                <w:i w:val="0"/>
                <w:sz w:val="22"/>
              </w:rPr>
              <w:t>Số vụ tranh chấp/khiếu nại hợp đồng</w:t>
            </w:r>
          </w:p>
        </w:tc>
        <w:tc>
          <w:tcPr>
            <w:tcW w:type="dxa" w:w="1296"/>
          </w:tcPr>
          <w:p>
            <w:pPr>
              <w:jc w:val="left"/>
            </w:pPr>
            <w:r/>
            <w:r>
              <w:rPr>
                <w:rFonts w:ascii="Times New Roman" w:hAnsi="Times New Roman" w:eastAsia="Times New Roman"/>
                <w:b w:val="0"/>
                <w:i w:val="0"/>
                <w:sz w:val="22"/>
              </w:rPr>
              <w:t>vụ</w:t>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r>
      <w:tr>
        <w:tc>
          <w:tcPr>
            <w:tcW w:type="dxa" w:w="1296"/>
          </w:tcPr>
          <w:p>
            <w:pPr>
              <w:jc w:val="left"/>
            </w:pPr>
            <w:r/>
            <w:r>
              <w:rPr>
                <w:rFonts w:ascii="Times New Roman" w:hAnsi="Times New Roman" w:eastAsia="Times New Roman"/>
                <w:b w:val="0"/>
                <w:i w:val="0"/>
                <w:sz w:val="22"/>
              </w:rPr>
              <w:t>8</w:t>
            </w:r>
          </w:p>
        </w:tc>
        <w:tc>
          <w:tcPr>
            <w:tcW w:type="dxa" w:w="1296"/>
          </w:tcPr>
          <w:p>
            <w:pPr>
              <w:jc w:val="left"/>
            </w:pPr>
            <w:r/>
            <w:r>
              <w:rPr>
                <w:rFonts w:ascii="Times New Roman" w:hAnsi="Times New Roman" w:eastAsia="Times New Roman"/>
                <w:b w:val="0"/>
                <w:i w:val="0"/>
                <w:sz w:val="22"/>
              </w:rPr>
              <w:t>Lao động bình quân</w:t>
            </w:r>
          </w:p>
        </w:tc>
        <w:tc>
          <w:tcPr>
            <w:tcW w:type="dxa" w:w="1296"/>
          </w:tcPr>
          <w:p>
            <w:pPr>
              <w:jc w:val="left"/>
            </w:pPr>
            <w:r/>
            <w:r>
              <w:rPr>
                <w:rFonts w:ascii="Times New Roman" w:hAnsi="Times New Roman" w:eastAsia="Times New Roman"/>
                <w:b w:val="0"/>
                <w:i w:val="0"/>
                <w:sz w:val="22"/>
              </w:rPr>
              <w:t>người</w:t>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r>
      <w:tr>
        <w:tc>
          <w:tcPr>
            <w:tcW w:type="dxa" w:w="1296"/>
          </w:tcPr>
          <w:p>
            <w:pPr>
              <w:jc w:val="left"/>
            </w:pPr>
            <w:r/>
            <w:r>
              <w:rPr>
                <w:rFonts w:ascii="Times New Roman" w:hAnsi="Times New Roman" w:eastAsia="Times New Roman"/>
                <w:b w:val="0"/>
                <w:i w:val="0"/>
                <w:sz w:val="22"/>
              </w:rPr>
              <w:t>9</w:t>
            </w:r>
          </w:p>
        </w:tc>
        <w:tc>
          <w:tcPr>
            <w:tcW w:type="dxa" w:w="1296"/>
          </w:tcPr>
          <w:p>
            <w:pPr>
              <w:jc w:val="left"/>
            </w:pPr>
            <w:r/>
            <w:r>
              <w:rPr>
                <w:rFonts w:ascii="Times New Roman" w:hAnsi="Times New Roman" w:eastAsia="Times New Roman"/>
                <w:b w:val="0"/>
                <w:i w:val="0"/>
                <w:sz w:val="22"/>
              </w:rPr>
              <w:t>Số đợt tập huấn pháp luật thương mại</w:t>
            </w:r>
          </w:p>
        </w:tc>
        <w:tc>
          <w:tcPr>
            <w:tcW w:type="dxa" w:w="1296"/>
          </w:tcPr>
          <w:p>
            <w:pPr>
              <w:jc w:val="left"/>
            </w:pPr>
            <w:r/>
            <w:r>
              <w:rPr>
                <w:rFonts w:ascii="Times New Roman" w:hAnsi="Times New Roman" w:eastAsia="Times New Roman"/>
                <w:b w:val="0"/>
                <w:i w:val="0"/>
                <w:sz w:val="22"/>
              </w:rPr>
              <w:t>đợt</w:t>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r>
      <w:tr>
        <w:tc>
          <w:tcPr>
            <w:tcW w:type="dxa" w:w="1296"/>
          </w:tcPr>
          <w:p>
            <w:pPr>
              <w:jc w:val="left"/>
            </w:pPr>
            <w:r/>
            <w:r>
              <w:rPr>
                <w:rFonts w:ascii="Times New Roman" w:hAnsi="Times New Roman" w:eastAsia="Times New Roman"/>
                <w:b w:val="0"/>
                <w:i w:val="0"/>
                <w:sz w:val="22"/>
              </w:rPr>
              <w:t>10</w:t>
            </w:r>
          </w:p>
        </w:tc>
        <w:tc>
          <w:tcPr>
            <w:tcW w:type="dxa" w:w="1296"/>
          </w:tcPr>
          <w:p>
            <w:pPr>
              <w:jc w:val="left"/>
            </w:pPr>
            <w:r/>
            <w:r>
              <w:rPr>
                <w:rFonts w:ascii="Times New Roman" w:hAnsi="Times New Roman" w:eastAsia="Times New Roman"/>
                <w:b w:val="0"/>
                <w:i w:val="0"/>
                <w:sz w:val="22"/>
              </w:rPr>
              <w:t>Chi phí tuân thủ TTHC XNK/PCCC (ước tính)</w:t>
            </w:r>
          </w:p>
        </w:tc>
        <w:tc>
          <w:tcPr>
            <w:tcW w:type="dxa" w:w="1296"/>
          </w:tcPr>
          <w:p>
            <w:pPr>
              <w:jc w:val="left"/>
            </w:pPr>
            <w:r/>
            <w:r>
              <w:rPr>
                <w:rFonts w:ascii="Times New Roman" w:hAnsi="Times New Roman" w:eastAsia="Times New Roman"/>
                <w:b w:val="0"/>
                <w:i w:val="0"/>
                <w:sz w:val="22"/>
              </w:rPr>
              <w:t>triệu đồng</w:t>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c>
          <w:tcPr>
            <w:tcW w:type="dxa" w:w="1296"/>
          </w:tcPr>
          <w:p>
            <w:pPr>
              <w:jc w:val="left"/>
            </w:pPr>
            <w:r/>
            <w:r>
              <w:rPr>
                <w:rFonts w:ascii="Times New Roman" w:hAnsi="Times New Roman" w:eastAsia="Times New Roman"/>
                <w:b w:val="0"/>
                <w:i w:val="0"/>
                <w:sz w:val="22"/>
              </w:rPr>
            </w:r>
          </w:p>
        </w:tc>
      </w:tr>
    </w:tbl>
    <w:p/>
    <w:p>
      <w:pPr>
        <w:spacing w:after="120" w:before="120" w:line="276" w:lineRule="auto"/>
        <w:jc w:val="center"/>
      </w:pPr>
      <w:r>
        <w:rPr>
          <w:rFonts w:ascii="Times New Roman" w:hAnsi="Times New Roman" w:eastAsia="Times New Roman"/>
          <w:b/>
          <w:i w:val="0"/>
          <w:sz w:val="32"/>
        </w:rPr>
        <w:t>PHỤ LỤC C</w:t>
      </w:r>
    </w:p>
    <w:p>
      <w:pPr>
        <w:spacing w:after="120" w:before="200" w:line="276" w:lineRule="auto"/>
        <w:jc w:val="center"/>
      </w:pPr>
      <w:r>
        <w:rPr>
          <w:rFonts w:ascii="Times New Roman" w:hAnsi="Times New Roman" w:eastAsia="Times New Roman"/>
          <w:b/>
          <w:i w:val="0"/>
          <w:sz w:val="28"/>
        </w:rPr>
        <w:t>BẢNG TỔNG HỢP KIẾN NGHỊ THEO TỪNG CHƯƠNG</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E2F3" w:val="clear"/>
          </w:tcPr>
          <w:p>
            <w:pPr>
              <w:jc w:val="left"/>
            </w:pPr>
            <w:r/>
            <w:r>
              <w:rPr>
                <w:rFonts w:ascii="Times New Roman" w:hAnsi="Times New Roman" w:eastAsia="Times New Roman"/>
                <w:b/>
                <w:i w:val="0"/>
                <w:sz w:val="22"/>
              </w:rPr>
              <w:t>Chương</w:t>
            </w:r>
          </w:p>
        </w:tc>
        <w:tc>
          <w:tcPr>
            <w:tcW w:type="dxa" w:w="3024"/>
            <w:shd w:fill="D9E2F3" w:val="clear"/>
          </w:tcPr>
          <w:p>
            <w:pPr>
              <w:jc w:val="left"/>
            </w:pPr>
            <w:r/>
            <w:r>
              <w:rPr>
                <w:rFonts w:ascii="Times New Roman" w:hAnsi="Times New Roman" w:eastAsia="Times New Roman"/>
                <w:b/>
                <w:i w:val="0"/>
                <w:sz w:val="22"/>
              </w:rPr>
              <w:t>Vấn đề chính</w:t>
            </w:r>
          </w:p>
        </w:tc>
        <w:tc>
          <w:tcPr>
            <w:tcW w:type="dxa" w:w="3024"/>
            <w:shd w:fill="D9E2F3" w:val="clear"/>
          </w:tcPr>
          <w:p>
            <w:pPr>
              <w:jc w:val="left"/>
            </w:pPr>
            <w:r/>
            <w:r>
              <w:rPr>
                <w:rFonts w:ascii="Times New Roman" w:hAnsi="Times New Roman" w:eastAsia="Times New Roman"/>
                <w:b/>
                <w:i w:val="0"/>
                <w:sz w:val="22"/>
              </w:rPr>
              <w:t>Kiến nghị ngắn</w:t>
            </w:r>
          </w:p>
        </w:tc>
      </w:tr>
      <w:tr>
        <w:tc>
          <w:tcPr>
            <w:tcW w:type="dxa" w:w="3024"/>
          </w:tcPr>
          <w:p>
            <w:pPr>
              <w:jc w:val="left"/>
            </w:pPr>
            <w:r/>
            <w:r>
              <w:rPr>
                <w:rFonts w:ascii="Times New Roman" w:hAnsi="Times New Roman" w:eastAsia="Times New Roman"/>
                <w:b w:val="0"/>
                <w:i w:val="0"/>
                <w:sz w:val="22"/>
              </w:rPr>
              <w:t>I</w:t>
            </w:r>
          </w:p>
        </w:tc>
        <w:tc>
          <w:tcPr>
            <w:tcW w:type="dxa" w:w="3024"/>
          </w:tcPr>
          <w:p>
            <w:pPr>
              <w:jc w:val="left"/>
            </w:pPr>
            <w:r/>
            <w:r>
              <w:rPr>
                <w:rFonts w:ascii="Times New Roman" w:hAnsi="Times New Roman" w:eastAsia="Times New Roman"/>
                <w:b w:val="0"/>
                <w:i w:val="0"/>
                <w:sz w:val="22"/>
              </w:rPr>
              <w:t>Giao thoa phạm vi với BLDS, Luật Đầu tư, Luật DN; đặc thù DN quốc phòng</w:t>
            </w:r>
          </w:p>
        </w:tc>
        <w:tc>
          <w:tcPr>
            <w:tcW w:type="dxa" w:w="3024"/>
          </w:tcPr>
          <w:p>
            <w:pPr>
              <w:jc w:val="left"/>
            </w:pPr>
            <w:r/>
            <w:r>
              <w:rPr>
                <w:rFonts w:ascii="Times New Roman" w:hAnsi="Times New Roman" w:eastAsia="Times New Roman"/>
                <w:b w:val="0"/>
                <w:i w:val="0"/>
                <w:sz w:val="22"/>
              </w:rPr>
              <w:t>Làm rõ phạm vi; bổ sung nguyên tắc áp dụng với DN lưỡng dụng</w:t>
            </w:r>
          </w:p>
        </w:tc>
      </w:tr>
      <w:tr>
        <w:tc>
          <w:tcPr>
            <w:tcW w:type="dxa" w:w="3024"/>
          </w:tcPr>
          <w:p>
            <w:pPr>
              <w:jc w:val="left"/>
            </w:pPr>
            <w:r/>
            <w:r>
              <w:rPr>
                <w:rFonts w:ascii="Times New Roman" w:hAnsi="Times New Roman" w:eastAsia="Times New Roman"/>
                <w:b w:val="0"/>
                <w:i w:val="0"/>
                <w:sz w:val="22"/>
              </w:rPr>
              <w:t>II</w:t>
            </w:r>
          </w:p>
        </w:tc>
        <w:tc>
          <w:tcPr>
            <w:tcW w:type="dxa" w:w="3024"/>
          </w:tcPr>
          <w:p>
            <w:pPr>
              <w:jc w:val="left"/>
            </w:pPr>
            <w:r/>
            <w:r>
              <w:rPr>
                <w:rFonts w:ascii="Times New Roman" w:hAnsi="Times New Roman" w:eastAsia="Times New Roman"/>
                <w:b w:val="0"/>
                <w:i w:val="0"/>
                <w:sz w:val="22"/>
              </w:rPr>
              <w:t>Trùng với Luật QLNT; điều kiện PCCC; chứng từ FTA</w:t>
            </w:r>
          </w:p>
        </w:tc>
        <w:tc>
          <w:tcPr>
            <w:tcW w:type="dxa" w:w="3024"/>
          </w:tcPr>
          <w:p>
            <w:pPr>
              <w:jc w:val="left"/>
            </w:pPr>
            <w:r/>
            <w:r>
              <w:rPr>
                <w:rFonts w:ascii="Times New Roman" w:hAnsi="Times New Roman" w:eastAsia="Times New Roman"/>
                <w:b w:val="0"/>
                <w:i w:val="0"/>
                <w:sz w:val="22"/>
              </w:rPr>
              <w:t>Phân định hợp đồng mua bán ↔ quản lý XNK; một cửa chuyên ngành</w:t>
            </w:r>
          </w:p>
        </w:tc>
      </w:tr>
      <w:tr>
        <w:tc>
          <w:tcPr>
            <w:tcW w:type="dxa" w:w="3024"/>
          </w:tcPr>
          <w:p>
            <w:pPr>
              <w:jc w:val="left"/>
            </w:pPr>
            <w:r/>
            <w:r>
              <w:rPr>
                <w:rFonts w:ascii="Times New Roman" w:hAnsi="Times New Roman" w:eastAsia="Times New Roman"/>
                <w:b w:val="0"/>
                <w:i w:val="0"/>
                <w:sz w:val="22"/>
              </w:rPr>
              <w:t>III</w:t>
            </w:r>
          </w:p>
        </w:tc>
        <w:tc>
          <w:tcPr>
            <w:tcW w:type="dxa" w:w="3024"/>
          </w:tcPr>
          <w:p>
            <w:pPr>
              <w:jc w:val="left"/>
            </w:pPr>
            <w:r/>
            <w:r>
              <w:rPr>
                <w:rFonts w:ascii="Times New Roman" w:hAnsi="Times New Roman" w:eastAsia="Times New Roman"/>
                <w:b w:val="0"/>
                <w:i w:val="0"/>
                <w:sz w:val="22"/>
              </w:rPr>
              <w:t>Hợp đồng dịch vụ/gia công hỗn hợp</w:t>
            </w:r>
          </w:p>
        </w:tc>
        <w:tc>
          <w:tcPr>
            <w:tcW w:type="dxa" w:w="3024"/>
          </w:tcPr>
          <w:p>
            <w:pPr>
              <w:jc w:val="left"/>
            </w:pPr>
            <w:r/>
            <w:r>
              <w:rPr>
                <w:rFonts w:ascii="Times New Roman" w:hAnsi="Times New Roman" w:eastAsia="Times New Roman"/>
                <w:b w:val="0"/>
                <w:i w:val="0"/>
                <w:sz w:val="22"/>
              </w:rPr>
              <w:t>Tiêu chí phân loại; bảo mật – sở hữu trí tuệ</w:t>
            </w:r>
          </w:p>
        </w:tc>
      </w:tr>
      <w:tr>
        <w:tc>
          <w:tcPr>
            <w:tcW w:type="dxa" w:w="3024"/>
          </w:tcPr>
          <w:p>
            <w:pPr>
              <w:jc w:val="left"/>
            </w:pPr>
            <w:r/>
            <w:r>
              <w:rPr>
                <w:rFonts w:ascii="Times New Roman" w:hAnsi="Times New Roman" w:eastAsia="Times New Roman"/>
                <w:b w:val="0"/>
                <w:i w:val="0"/>
                <w:sz w:val="22"/>
              </w:rPr>
              <w:t>IV</w:t>
            </w:r>
          </w:p>
        </w:tc>
        <w:tc>
          <w:tcPr>
            <w:tcW w:type="dxa" w:w="3024"/>
          </w:tcPr>
          <w:p>
            <w:pPr>
              <w:jc w:val="left"/>
            </w:pPr>
            <w:r/>
            <w:r>
              <w:rPr>
                <w:rFonts w:ascii="Times New Roman" w:hAnsi="Times New Roman" w:eastAsia="Times New Roman"/>
                <w:b w:val="0"/>
                <w:i w:val="0"/>
                <w:sz w:val="22"/>
              </w:rPr>
              <w:t>Tiếp cận xúc tiến xuất khẩu hạn chế</w:t>
            </w:r>
          </w:p>
        </w:tc>
        <w:tc>
          <w:tcPr>
            <w:tcW w:type="dxa" w:w="3024"/>
          </w:tcPr>
          <w:p>
            <w:pPr>
              <w:jc w:val="left"/>
            </w:pPr>
            <w:r/>
            <w:r>
              <w:rPr>
                <w:rFonts w:ascii="Times New Roman" w:hAnsi="Times New Roman" w:eastAsia="Times New Roman"/>
                <w:b w:val="0"/>
                <w:i w:val="0"/>
                <w:sz w:val="22"/>
              </w:rPr>
              <w:t>Cơ chế hỗ trợ DN CNQP xuất khẩu dân sự; phân định xúc tiến chuyên ngành</w:t>
            </w:r>
          </w:p>
        </w:tc>
      </w:tr>
      <w:tr>
        <w:tc>
          <w:tcPr>
            <w:tcW w:type="dxa" w:w="3024"/>
          </w:tcPr>
          <w:p>
            <w:pPr>
              <w:jc w:val="left"/>
            </w:pPr>
            <w:r/>
            <w:r>
              <w:rPr>
                <w:rFonts w:ascii="Times New Roman" w:hAnsi="Times New Roman" w:eastAsia="Times New Roman"/>
                <w:b w:val="0"/>
                <w:i w:val="0"/>
                <w:sz w:val="22"/>
              </w:rPr>
              <w:t>V</w:t>
            </w:r>
          </w:p>
        </w:tc>
        <w:tc>
          <w:tcPr>
            <w:tcW w:type="dxa" w:w="3024"/>
          </w:tcPr>
          <w:p>
            <w:pPr>
              <w:jc w:val="left"/>
            </w:pPr>
            <w:r/>
            <w:r>
              <w:rPr>
                <w:rFonts w:ascii="Times New Roman" w:hAnsi="Times New Roman" w:eastAsia="Times New Roman"/>
                <w:b w:val="0"/>
                <w:i w:val="0"/>
                <w:sz w:val="22"/>
              </w:rPr>
              <w:t>Chuỗi phân phối hiện đại</w:t>
            </w:r>
          </w:p>
        </w:tc>
        <w:tc>
          <w:tcPr>
            <w:tcW w:type="dxa" w:w="3024"/>
          </w:tcPr>
          <w:p>
            <w:pPr>
              <w:jc w:val="left"/>
            </w:pPr>
            <w:r/>
            <w:r>
              <w:rPr>
                <w:rFonts w:ascii="Times New Roman" w:hAnsi="Times New Roman" w:eastAsia="Times New Roman"/>
                <w:b w:val="0"/>
                <w:i w:val="0"/>
                <w:sz w:val="22"/>
              </w:rPr>
              <w:t>Cập nhật đại lý/phân phối đa kênh</w:t>
            </w:r>
          </w:p>
        </w:tc>
      </w:tr>
      <w:tr>
        <w:tc>
          <w:tcPr>
            <w:tcW w:type="dxa" w:w="3024"/>
          </w:tcPr>
          <w:p>
            <w:pPr>
              <w:jc w:val="left"/>
            </w:pPr>
            <w:r/>
            <w:r>
              <w:rPr>
                <w:rFonts w:ascii="Times New Roman" w:hAnsi="Times New Roman" w:eastAsia="Times New Roman"/>
                <w:b w:val="0"/>
                <w:i w:val="0"/>
                <w:sz w:val="22"/>
              </w:rPr>
              <w:t>VI</w:t>
            </w:r>
          </w:p>
        </w:tc>
        <w:tc>
          <w:tcPr>
            <w:tcW w:type="dxa" w:w="3024"/>
          </w:tcPr>
          <w:p>
            <w:pPr>
              <w:jc w:val="left"/>
            </w:pPr>
            <w:r/>
            <w:r>
              <w:rPr>
                <w:rFonts w:ascii="Times New Roman" w:hAnsi="Times New Roman" w:eastAsia="Times New Roman"/>
                <w:b w:val="0"/>
                <w:i w:val="0"/>
                <w:sz w:val="22"/>
              </w:rPr>
              <w:t>Logistics, gia công quốc tế</w:t>
            </w:r>
          </w:p>
        </w:tc>
        <w:tc>
          <w:tcPr>
            <w:tcW w:type="dxa" w:w="3024"/>
          </w:tcPr>
          <w:p>
            <w:pPr>
              <w:jc w:val="left"/>
            </w:pPr>
            <w:r/>
            <w:r>
              <w:rPr>
                <w:rFonts w:ascii="Times New Roman" w:hAnsi="Times New Roman" w:eastAsia="Times New Roman"/>
                <w:b w:val="0"/>
                <w:i w:val="0"/>
                <w:sz w:val="22"/>
              </w:rPr>
              <w:t>Sửa mạnh logistics; chuẩn hóa gia công XNK</w:t>
            </w:r>
          </w:p>
        </w:tc>
      </w:tr>
      <w:tr>
        <w:tc>
          <w:tcPr>
            <w:tcW w:type="dxa" w:w="3024"/>
          </w:tcPr>
          <w:p>
            <w:pPr>
              <w:jc w:val="left"/>
            </w:pPr>
            <w:r/>
            <w:r>
              <w:rPr>
                <w:rFonts w:ascii="Times New Roman" w:hAnsi="Times New Roman" w:eastAsia="Times New Roman"/>
                <w:b w:val="0"/>
                <w:i w:val="0"/>
                <w:sz w:val="22"/>
              </w:rPr>
              <w:t>VII</w:t>
            </w:r>
          </w:p>
        </w:tc>
        <w:tc>
          <w:tcPr>
            <w:tcW w:type="dxa" w:w="3024"/>
          </w:tcPr>
          <w:p>
            <w:pPr>
              <w:jc w:val="left"/>
            </w:pPr>
            <w:r/>
            <w:r>
              <w:rPr>
                <w:rFonts w:ascii="Times New Roman" w:hAnsi="Times New Roman" w:eastAsia="Times New Roman"/>
                <w:b w:val="0"/>
                <w:i w:val="0"/>
                <w:sz w:val="22"/>
              </w:rPr>
              <w:t>Chậm thanh toán; tranh chấp quốc tế</w:t>
            </w:r>
          </w:p>
        </w:tc>
        <w:tc>
          <w:tcPr>
            <w:tcW w:type="dxa" w:w="3024"/>
          </w:tcPr>
          <w:p>
            <w:pPr>
              <w:jc w:val="left"/>
            </w:pPr>
            <w:r/>
            <w:r>
              <w:rPr>
                <w:rFonts w:ascii="Times New Roman" w:hAnsi="Times New Roman" w:eastAsia="Times New Roman"/>
                <w:b w:val="0"/>
                <w:i w:val="0"/>
                <w:sz w:val="22"/>
              </w:rPr>
              <w:t>Chế tài chậm thanh toán; tăng hiệu quả trọng tài/tòa kinh tế</w:t>
            </w:r>
          </w:p>
        </w:tc>
      </w:tr>
      <w:tr>
        <w:tc>
          <w:tcPr>
            <w:tcW w:type="dxa" w:w="3024"/>
          </w:tcPr>
          <w:p>
            <w:pPr>
              <w:jc w:val="left"/>
            </w:pPr>
            <w:r/>
            <w:r>
              <w:rPr>
                <w:rFonts w:ascii="Times New Roman" w:hAnsi="Times New Roman" w:eastAsia="Times New Roman"/>
                <w:b w:val="0"/>
                <w:i w:val="0"/>
                <w:sz w:val="22"/>
              </w:rPr>
              <w:t>VIII</w:t>
            </w:r>
          </w:p>
        </w:tc>
        <w:tc>
          <w:tcPr>
            <w:tcW w:type="dxa" w:w="3024"/>
          </w:tcPr>
          <w:p>
            <w:pPr>
              <w:jc w:val="left"/>
            </w:pPr>
            <w:r/>
            <w:r>
              <w:rPr>
                <w:rFonts w:ascii="Times New Roman" w:hAnsi="Times New Roman" w:eastAsia="Times New Roman"/>
                <w:b w:val="0"/>
                <w:i w:val="0"/>
                <w:sz w:val="22"/>
              </w:rPr>
              <w:t>Chồng thẩm quyền xử lý VPHC</w:t>
            </w:r>
          </w:p>
        </w:tc>
        <w:tc>
          <w:tcPr>
            <w:tcW w:type="dxa" w:w="3024"/>
          </w:tcPr>
          <w:p>
            <w:pPr>
              <w:jc w:val="left"/>
            </w:pPr>
            <w:r/>
            <w:r>
              <w:rPr>
                <w:rFonts w:ascii="Times New Roman" w:hAnsi="Times New Roman" w:eastAsia="Times New Roman"/>
                <w:b w:val="0"/>
                <w:i w:val="0"/>
                <w:sz w:val="22"/>
              </w:rPr>
              <w:t>Phân định luật điều chỉnh</w:t>
            </w:r>
          </w:p>
        </w:tc>
      </w:tr>
      <w:tr>
        <w:tc>
          <w:tcPr>
            <w:tcW w:type="dxa" w:w="3024"/>
          </w:tcPr>
          <w:p>
            <w:pPr>
              <w:jc w:val="left"/>
            </w:pPr>
            <w:r/>
            <w:r>
              <w:rPr>
                <w:rFonts w:ascii="Times New Roman" w:hAnsi="Times New Roman" w:eastAsia="Times New Roman"/>
                <w:b w:val="0"/>
                <w:i w:val="0"/>
                <w:sz w:val="22"/>
              </w:rPr>
              <w:t>Nội dung mới</w:t>
            </w:r>
          </w:p>
        </w:tc>
        <w:tc>
          <w:tcPr>
            <w:tcW w:type="dxa" w:w="3024"/>
          </w:tcPr>
          <w:p>
            <w:pPr>
              <w:jc w:val="left"/>
            </w:pPr>
            <w:r/>
            <w:r>
              <w:rPr>
                <w:rFonts w:ascii="Times New Roman" w:hAnsi="Times New Roman" w:eastAsia="Times New Roman"/>
                <w:b w:val="0"/>
                <w:i w:val="0"/>
                <w:sz w:val="22"/>
              </w:rPr>
              <w:t>TM số, TM xanh, lưỡng dụng</w:t>
            </w:r>
          </w:p>
        </w:tc>
        <w:tc>
          <w:tcPr>
            <w:tcW w:type="dxa" w:w="3024"/>
          </w:tcPr>
          <w:p>
            <w:pPr>
              <w:jc w:val="left"/>
            </w:pPr>
            <w:r/>
            <w:r>
              <w:rPr>
                <w:rFonts w:ascii="Times New Roman" w:hAnsi="Times New Roman" w:eastAsia="Times New Roman"/>
                <w:b w:val="0"/>
                <w:i w:val="0"/>
                <w:sz w:val="22"/>
              </w:rPr>
              <w:t>Bổ sung chương/mục mới trong Luật thay thế</w:t>
            </w:r>
          </w:p>
        </w:tc>
      </w:tr>
    </w:tbl>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t xml:space="preserve">Trang </w:t>
    </w:r>
    <w:r>
      <w:rPr>
        <w:rFonts w:ascii="Times New Roman" w:hAnsi="Times New Roman" w:eastAsia="Times New Roman"/>
        <w:b w:val="0"/>
        <w:i w:val="0"/>
        <w:sz w:val="20"/>
      </w:rPr>
      <w:fldChar w:fldCharType="begin"/>
      <w:instrText xml:space="preserve">PAGE</w:instrText>
      <w:fldChar w:fldCharType="end"/>
    </w:r>
    <w:r>
      <w:rPr>
        <w:rFonts w:ascii="Times New Roman" w:hAnsi="Times New Roman" w:eastAsia="Times New Roman"/>
        <w:b w:val="0"/>
        <w:i w:val="0"/>
        <w:sz w:val="20"/>
      </w:rPr>
      <w:t>/</w:t>
    </w:r>
    <w:r>
      <w:rPr>
        <w:rFonts w:ascii="Times New Roman" w:hAnsi="Times New Roman" w:eastAsia="Times New Roman"/>
        <w:b w:val="0"/>
        <w:i w:val="0"/>
        <w:sz w:val="20"/>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