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D363" w14:textId="3664CB9B" w:rsidR="000F2099" w:rsidRPr="000F2099" w:rsidRDefault="000F2099" w:rsidP="000F2099">
      <w:pPr>
        <w:widowControl w:val="0"/>
        <w:autoSpaceDE w:val="0"/>
        <w:autoSpaceDN w:val="0"/>
        <w:adjustRightInd w:val="0"/>
        <w:ind w:firstLine="0"/>
        <w:jc w:val="center"/>
        <w:rPr>
          <w:sz w:val="24"/>
          <w:szCs w:val="24"/>
          <w:lang w:val="ru-RU" w:eastAsia="ru-RU"/>
        </w:rPr>
      </w:pPr>
      <w:r w:rsidRPr="000F2099">
        <w:rPr>
          <w:sz w:val="24"/>
          <w:szCs w:val="24"/>
          <w:lang w:val="ru-RU" w:eastAsia="ru-RU"/>
        </w:rPr>
        <w:t>ГУАП</w:t>
      </w:r>
    </w:p>
    <w:p w14:paraId="0DC657DB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before="480" w:line="240" w:lineRule="auto"/>
        <w:ind w:firstLine="0"/>
        <w:jc w:val="center"/>
        <w:rPr>
          <w:sz w:val="24"/>
          <w:szCs w:val="24"/>
          <w:lang w:val="ru-RU" w:eastAsia="ru-RU"/>
        </w:rPr>
      </w:pPr>
      <w:r w:rsidRPr="000F2099">
        <w:rPr>
          <w:sz w:val="24"/>
          <w:szCs w:val="24"/>
          <w:lang w:val="ru-RU" w:eastAsia="ru-RU"/>
        </w:rPr>
        <w:t>КАФЕДРА № 31</w:t>
      </w:r>
    </w:p>
    <w:p w14:paraId="0D252CB3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before="1200" w:line="240" w:lineRule="auto"/>
        <w:ind w:firstLine="0"/>
        <w:rPr>
          <w:sz w:val="24"/>
          <w:szCs w:val="24"/>
          <w:lang w:val="ru-RU" w:eastAsia="ru-RU"/>
        </w:rPr>
      </w:pPr>
      <w:r w:rsidRPr="000F2099">
        <w:rPr>
          <w:sz w:val="24"/>
          <w:szCs w:val="24"/>
          <w:lang w:val="ru-RU" w:eastAsia="ru-RU"/>
        </w:rPr>
        <w:t xml:space="preserve">ОТЧЕТ </w:t>
      </w:r>
      <w:r w:rsidRPr="000F2099">
        <w:rPr>
          <w:sz w:val="24"/>
          <w:szCs w:val="24"/>
          <w:lang w:val="ru-RU" w:eastAsia="ru-RU"/>
        </w:rPr>
        <w:br/>
        <w:t>ЗАЩИЩЕН С ОЦЕНКОЙ</w:t>
      </w:r>
    </w:p>
    <w:p w14:paraId="66309515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before="120"/>
        <w:ind w:firstLine="0"/>
        <w:rPr>
          <w:sz w:val="24"/>
          <w:szCs w:val="24"/>
          <w:lang w:val="ru-RU" w:eastAsia="ru-RU"/>
        </w:rPr>
      </w:pPr>
      <w:r w:rsidRPr="000F2099">
        <w:rPr>
          <w:sz w:val="24"/>
          <w:szCs w:val="24"/>
          <w:lang w:val="ru-RU" w:eastAsia="ru-RU"/>
        </w:rP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3"/>
        <w:gridCol w:w="284"/>
        <w:gridCol w:w="2821"/>
        <w:gridCol w:w="277"/>
        <w:gridCol w:w="3014"/>
      </w:tblGrid>
      <w:tr w:rsidR="000F2099" w:rsidRPr="000F2099" w14:paraId="69040D59" w14:textId="77777777" w:rsidTr="00455025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14:paraId="70D44076" w14:textId="35B18A7E" w:rsidR="000F2099" w:rsidRPr="000F2099" w:rsidRDefault="00E02DAE" w:rsidP="000F20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к. т. н.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B9D60C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14:paraId="0955427C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E44466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14:paraId="1E20BD1F" w14:textId="327057F1" w:rsidR="000F2099" w:rsidRPr="000F2099" w:rsidRDefault="00E02DAE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С. Л. Морева</w:t>
            </w:r>
          </w:p>
        </w:tc>
      </w:tr>
      <w:tr w:rsidR="000F2099" w:rsidRPr="000F2099" w14:paraId="3919E7DB" w14:textId="77777777" w:rsidTr="00455025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810D49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  <w:r w:rsidRPr="000F2099">
              <w:rPr>
                <w:sz w:val="20"/>
                <w:szCs w:val="20"/>
                <w:lang w:val="ru-RU" w:eastAsia="ru-RU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E79053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987BB8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  <w:r w:rsidRPr="000F209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CF2B32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8B8EAF1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  <w:r w:rsidRPr="000F209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31E0A143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szCs w:val="28"/>
          <w:lang w:val="ru-RU" w:eastAsia="ru-RU"/>
        </w:rPr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0F2099" w:rsidRPr="000F2099" w14:paraId="782FEB1A" w14:textId="77777777" w:rsidTr="00455025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19765FA" w14:textId="70840F4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960" w:line="240" w:lineRule="auto"/>
              <w:ind w:firstLine="0"/>
              <w:jc w:val="center"/>
              <w:rPr>
                <w:szCs w:val="28"/>
                <w:lang w:val="ru-RU" w:eastAsia="ru-RU"/>
              </w:rPr>
            </w:pPr>
            <w:r w:rsidRPr="000F2099">
              <w:rPr>
                <w:szCs w:val="28"/>
                <w:lang w:val="ru-RU" w:eastAsia="ru-RU"/>
              </w:rPr>
              <w:t xml:space="preserve">ОТЧЕТ </w:t>
            </w:r>
            <w:r w:rsidR="00D72B29">
              <w:rPr>
                <w:szCs w:val="28"/>
                <w:lang w:val="ru-RU" w:eastAsia="ru-RU"/>
              </w:rPr>
              <w:t>ПО ИНДИВИДУАЛЬНОМУ ЗАДАНИЮ</w:t>
            </w:r>
          </w:p>
        </w:tc>
      </w:tr>
      <w:tr w:rsidR="000F2099" w:rsidRPr="000F2099" w14:paraId="060C1E8E" w14:textId="77777777" w:rsidTr="00455025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615B48FE" w14:textId="2929B094" w:rsidR="000F2099" w:rsidRPr="000F2099" w:rsidRDefault="00D72B29" w:rsidP="000F2099">
            <w:pPr>
              <w:keepNext/>
              <w:widowControl w:val="0"/>
              <w:autoSpaceDE w:val="0"/>
              <w:autoSpaceDN w:val="0"/>
              <w:adjustRightInd w:val="0"/>
              <w:spacing w:before="720" w:after="720" w:line="240" w:lineRule="auto"/>
              <w:ind w:firstLine="0"/>
              <w:jc w:val="center"/>
              <w:outlineLvl w:val="0"/>
              <w:rPr>
                <w:szCs w:val="28"/>
                <w:lang w:val="ru-RU" w:eastAsia="ru-RU"/>
              </w:rPr>
            </w:pPr>
            <w:r>
              <w:rPr>
                <w:szCs w:val="28"/>
                <w:lang w:val="ru-RU" w:eastAsia="ru-RU"/>
              </w:rPr>
              <w:t>ИССЛЕДОВАНИЕ ПО ТЕМЕ ВКР</w:t>
            </w:r>
          </w:p>
        </w:tc>
      </w:tr>
      <w:tr w:rsidR="000F2099" w:rsidRPr="000F2099" w14:paraId="14F9D87F" w14:textId="77777777" w:rsidTr="00455025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19FCDEBE" w14:textId="7674AE50" w:rsidR="000F2099" w:rsidRPr="000F2099" w:rsidRDefault="000F2099" w:rsidP="000F2099">
            <w:pPr>
              <w:keepNext/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outlineLvl w:val="2"/>
              <w:rPr>
                <w:sz w:val="24"/>
                <w:szCs w:val="24"/>
                <w:lang w:val="ru-RU" w:eastAsia="ru-RU"/>
              </w:rPr>
            </w:pPr>
            <w:r w:rsidRPr="000F2099">
              <w:rPr>
                <w:sz w:val="24"/>
                <w:szCs w:val="24"/>
                <w:lang w:val="ru-RU" w:eastAsia="ru-RU"/>
              </w:rPr>
              <w:t xml:space="preserve">по </w:t>
            </w:r>
            <w:r w:rsidR="00E02DAE" w:rsidRPr="000F2099">
              <w:rPr>
                <w:sz w:val="24"/>
                <w:szCs w:val="24"/>
                <w:lang w:val="ru-RU" w:eastAsia="ru-RU"/>
              </w:rPr>
              <w:t xml:space="preserve">курсу: </w:t>
            </w:r>
            <w:r w:rsidR="00E02DAE">
              <w:rPr>
                <w:sz w:val="24"/>
                <w:szCs w:val="24"/>
                <w:lang w:val="ru-RU" w:eastAsia="ru-RU"/>
              </w:rPr>
              <w:t>НАУЧНО-ИССЛЕДОВАТЕЛЬСКАЯ РАБОТА</w:t>
            </w:r>
          </w:p>
        </w:tc>
      </w:tr>
      <w:tr w:rsidR="000F2099" w:rsidRPr="000F2099" w14:paraId="41E46AA1" w14:textId="77777777" w:rsidTr="00455025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4FF33FD3" w14:textId="77777777" w:rsidR="000F2099" w:rsidRPr="000F2099" w:rsidRDefault="000F2099" w:rsidP="000F2099">
            <w:pPr>
              <w:keepNext/>
              <w:widowControl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outlineLvl w:val="2"/>
              <w:rPr>
                <w:szCs w:val="28"/>
                <w:lang w:val="ru-RU" w:eastAsia="ru-RU"/>
              </w:rPr>
            </w:pPr>
          </w:p>
        </w:tc>
      </w:tr>
      <w:tr w:rsidR="000F2099" w:rsidRPr="000F2099" w14:paraId="663DF6B7" w14:textId="77777777" w:rsidTr="00455025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14:paraId="72DB6852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</w:tr>
    </w:tbl>
    <w:p w14:paraId="722EBE18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before="1680"/>
        <w:ind w:firstLine="0"/>
        <w:rPr>
          <w:sz w:val="24"/>
          <w:szCs w:val="24"/>
          <w:lang w:eastAsia="ru-RU"/>
        </w:rPr>
      </w:pPr>
      <w:r w:rsidRPr="000F2099">
        <w:rPr>
          <w:sz w:val="24"/>
          <w:szCs w:val="24"/>
          <w:lang w:val="ru-RU" w:eastAsia="ru-RU"/>
        </w:rP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0F2099" w:rsidRPr="000F2099" w14:paraId="5555D97E" w14:textId="77777777" w:rsidTr="00455025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63F82FA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240" w:lineRule="auto"/>
              <w:ind w:left="-108" w:firstLine="0"/>
              <w:rPr>
                <w:sz w:val="24"/>
                <w:szCs w:val="24"/>
                <w:lang w:val="ru-RU" w:eastAsia="ru-RU"/>
              </w:rPr>
            </w:pPr>
            <w:r w:rsidRPr="000F2099">
              <w:rPr>
                <w:sz w:val="24"/>
                <w:szCs w:val="24"/>
                <w:lang w:val="ru-RU" w:eastAsia="ru-RU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65CB" w14:textId="195FBDC8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  <w:r>
              <w:rPr>
                <w:sz w:val="24"/>
                <w:szCs w:val="24"/>
                <w:lang w:val="ru-RU" w:eastAsia="ru-RU"/>
              </w:rPr>
              <w:t>3510М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9E06B2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473AE5C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F4D524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FA1981F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before="120" w:line="240" w:lineRule="auto"/>
              <w:ind w:firstLine="0"/>
              <w:jc w:val="center"/>
              <w:rPr>
                <w:sz w:val="24"/>
                <w:szCs w:val="24"/>
                <w:lang w:val="ru-RU" w:eastAsia="ru-RU"/>
              </w:rPr>
            </w:pPr>
            <w:r w:rsidRPr="000F2099">
              <w:rPr>
                <w:sz w:val="24"/>
                <w:szCs w:val="24"/>
                <w:lang w:val="ru-RU" w:eastAsia="ru-RU"/>
              </w:rPr>
              <w:t>Д. В. Самарин</w:t>
            </w:r>
          </w:p>
        </w:tc>
      </w:tr>
      <w:tr w:rsidR="000F2099" w:rsidRPr="000F2099" w14:paraId="1CE09473" w14:textId="77777777" w:rsidTr="00455025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8596C1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4F55E19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7EC2F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9C675F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  <w:r w:rsidRPr="000F2099">
              <w:rPr>
                <w:sz w:val="20"/>
                <w:szCs w:val="20"/>
                <w:lang w:val="ru-RU"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366601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rPr>
                <w:sz w:val="24"/>
                <w:szCs w:val="24"/>
                <w:lang w:val="ru-RU" w:eastAsia="ru-RU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3FA93" w14:textId="77777777" w:rsidR="000F2099" w:rsidRPr="000F2099" w:rsidRDefault="000F2099" w:rsidP="000F2099">
            <w:pPr>
              <w:widowControl w:val="0"/>
              <w:autoSpaceDE w:val="0"/>
              <w:autoSpaceDN w:val="0"/>
              <w:adjustRightInd w:val="0"/>
              <w:spacing w:line="180" w:lineRule="exact"/>
              <w:ind w:firstLine="0"/>
              <w:jc w:val="center"/>
              <w:rPr>
                <w:sz w:val="20"/>
                <w:szCs w:val="20"/>
                <w:lang w:val="ru-RU" w:eastAsia="ru-RU"/>
              </w:rPr>
            </w:pPr>
            <w:r w:rsidRPr="000F2099">
              <w:rPr>
                <w:sz w:val="20"/>
                <w:szCs w:val="20"/>
                <w:lang w:val="ru-RU" w:eastAsia="ru-RU"/>
              </w:rPr>
              <w:t>инициалы, фамилия</w:t>
            </w:r>
          </w:p>
        </w:tc>
      </w:tr>
    </w:tbl>
    <w:p w14:paraId="6EABB858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4CCC0D7E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4B2E68A0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4E709166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4F86D6A3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27C612D6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rPr>
          <w:color w:val="000000"/>
          <w:sz w:val="24"/>
          <w:szCs w:val="24"/>
          <w:lang w:val="ru-RU" w:eastAsia="ru-RU"/>
        </w:rPr>
      </w:pPr>
    </w:p>
    <w:p w14:paraId="74CD6552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color w:val="000000"/>
          <w:sz w:val="24"/>
          <w:szCs w:val="24"/>
          <w:lang w:val="ru-RU" w:eastAsia="ru-RU"/>
        </w:rPr>
      </w:pPr>
    </w:p>
    <w:p w14:paraId="06B4F9DF" w14:textId="77777777" w:rsidR="000F2099" w:rsidRPr="000F2099" w:rsidRDefault="000F2099" w:rsidP="000F2099">
      <w:pPr>
        <w:widowControl w:val="0"/>
        <w:autoSpaceDE w:val="0"/>
        <w:autoSpaceDN w:val="0"/>
        <w:adjustRightInd w:val="0"/>
        <w:spacing w:line="240" w:lineRule="auto"/>
        <w:ind w:firstLine="0"/>
        <w:jc w:val="center"/>
        <w:rPr>
          <w:color w:val="000000"/>
          <w:sz w:val="24"/>
          <w:szCs w:val="24"/>
          <w:lang w:val="ru-RU" w:eastAsia="ru-RU"/>
        </w:rPr>
      </w:pPr>
      <w:r w:rsidRPr="000F2099">
        <w:rPr>
          <w:color w:val="000000"/>
          <w:sz w:val="24"/>
          <w:szCs w:val="24"/>
          <w:lang w:val="ru-RU" w:eastAsia="ru-RU"/>
        </w:rPr>
        <w:t>Санкт-Петербург</w:t>
      </w:r>
      <w:r w:rsidRPr="000F2099">
        <w:rPr>
          <w:color w:val="000000"/>
          <w:sz w:val="24"/>
          <w:szCs w:val="24"/>
          <w:lang w:eastAsia="ru-RU"/>
        </w:rPr>
        <w:t xml:space="preserve"> </w:t>
      </w:r>
      <w:r w:rsidRPr="000F2099">
        <w:rPr>
          <w:color w:val="000000"/>
          <w:sz w:val="24"/>
          <w:szCs w:val="24"/>
          <w:lang w:val="ru-RU" w:eastAsia="ru-RU"/>
        </w:rPr>
        <w:t>202</w:t>
      </w:r>
      <w:r w:rsidRPr="000F2099">
        <w:rPr>
          <w:color w:val="000000"/>
          <w:sz w:val="24"/>
          <w:szCs w:val="24"/>
          <w:lang w:eastAsia="ru-RU"/>
        </w:rPr>
        <w:t>5</w:t>
      </w:r>
    </w:p>
    <w:p w14:paraId="64775F45" w14:textId="52C6C320" w:rsidR="00856E25" w:rsidRDefault="005566DE" w:rsidP="000F2099">
      <w:pPr>
        <w:keepNext/>
        <w:spacing w:before="240" w:after="240"/>
        <w:ind w:firstLine="0"/>
        <w:jc w:val="center"/>
      </w:pPr>
      <w:r>
        <w:rPr>
          <w:b/>
        </w:rPr>
        <w:lastRenderedPageBreak/>
        <w:t>СОДЕРЖАНИЕ</w:t>
      </w:r>
    </w:p>
    <w:p w14:paraId="528EC164" w14:textId="77777777" w:rsidR="00856E25" w:rsidRDefault="005566DE">
      <w:pPr>
        <w:ind w:firstLine="0"/>
      </w:pPr>
      <w:r>
        <w:t>ВВЕДЕНИЕ</w:t>
      </w:r>
    </w:p>
    <w:p w14:paraId="499E05AD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>1. МЕТОДЫ АНАЛИЗА, СОХРАНЕНИЯ И ПЕРЕДАЧИ ИНФОРМАЦИИ С ИСПОЛЬЗОВАНИЕМ ЦИФРОВЫХ СРЕДСТВ</w:t>
      </w:r>
    </w:p>
    <w:p w14:paraId="4E4C8A59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1.1 Методы анализа информации</w:t>
      </w:r>
    </w:p>
    <w:p w14:paraId="696463A1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1.2 Методы сохранения информации цифровыми средствами</w:t>
      </w:r>
    </w:p>
    <w:p w14:paraId="4B4EF586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1.3 Методы передачи информации</w:t>
      </w:r>
    </w:p>
    <w:p w14:paraId="2F2DEDF2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1.4 Применение рассмотренных методов в магистерской диссертации</w:t>
      </w:r>
    </w:p>
    <w:p w14:paraId="100E35B5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>2. МЕТОДЫ РАЗРАБОТКИ МАТЕМАТИЧЕСКИХ МОДЕЛЕЙ ИССЛЕДУЕМОГО ОБЪЕКТА И ПРОЦЕССА</w:t>
      </w:r>
    </w:p>
    <w:p w14:paraId="0C2F1D99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2.1 Понятие модели и моделирования. Классификация моделей</w:t>
      </w:r>
    </w:p>
    <w:p w14:paraId="068F3CF2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2.2 Алгоритм научных исследований с помощью матем</w:t>
      </w:r>
      <w:r w:rsidRPr="000F2099">
        <w:rPr>
          <w:lang w:val="ru-RU"/>
        </w:rPr>
        <w:t>атического моделирования</w:t>
      </w:r>
    </w:p>
    <w:p w14:paraId="4021B288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2.3 Методы разработки математических моделей</w:t>
      </w:r>
    </w:p>
    <w:p w14:paraId="67CAE219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2.4 Приёмы упрощения моделей</w:t>
      </w:r>
    </w:p>
    <w:p w14:paraId="6D50B8FD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2.5 Применение рассмотренных методов в магистерской диссертации</w:t>
      </w:r>
    </w:p>
    <w:p w14:paraId="4CD5AEEE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>3. МЕТОДЫ ОЦЕНКИ РЕЗУЛЬТАТОВ ТЕОРЕТИЧЕСКИХ И ЭКСПЕРИМЕНТАЛЬНЫХ ИССЛЕДОВАНИЙ</w:t>
      </w:r>
    </w:p>
    <w:p w14:paraId="3CA4C564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3.1 К</w:t>
      </w:r>
      <w:r w:rsidRPr="000F2099">
        <w:rPr>
          <w:lang w:val="ru-RU"/>
        </w:rPr>
        <w:t>ритерии научности результата: верификация и фальсификация</w:t>
      </w:r>
    </w:p>
    <w:p w14:paraId="18355A82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3.2 Адекватность математической модели: точность и непротиворечивость</w:t>
      </w:r>
    </w:p>
    <w:p w14:paraId="51DDE426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3.3 Свойства методов вычислений: устойчивость, аппроксимация, сходимость</w:t>
      </w:r>
    </w:p>
    <w:p w14:paraId="4886651D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3.4 Приёмы контроля математических моделей</w:t>
      </w:r>
    </w:p>
    <w:p w14:paraId="66E1E52C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 xml:space="preserve">   3.5 Количественные метрики и план апробации в магистерской диссертации</w:t>
      </w:r>
    </w:p>
    <w:p w14:paraId="0321A872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>ЗАКЛЮЧЕНИЕ</w:t>
      </w:r>
    </w:p>
    <w:p w14:paraId="3D47E0A0" w14:textId="77777777" w:rsidR="00856E25" w:rsidRPr="000F2099" w:rsidRDefault="005566DE">
      <w:pPr>
        <w:ind w:firstLine="0"/>
        <w:rPr>
          <w:lang w:val="ru-RU"/>
        </w:rPr>
      </w:pPr>
      <w:r w:rsidRPr="000F2099">
        <w:rPr>
          <w:lang w:val="ru-RU"/>
        </w:rPr>
        <w:t>СПИСОК ИСПОЛЬЗОВАННЫХ ИСТОЧНИКОВ</w:t>
      </w:r>
    </w:p>
    <w:p w14:paraId="09813159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3C4ED7EF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ВВЕДЕНИЕ</w:t>
      </w:r>
    </w:p>
    <w:p w14:paraId="37BEB2E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Магис</w:t>
      </w:r>
      <w:r w:rsidRPr="000F2099">
        <w:rPr>
          <w:lang w:val="ru-RU"/>
        </w:rPr>
        <w:t>терская диссертация по направлению 27.04.04 «Управление в технических системах» предполагает решение научной задачи на основе систематического применения методов научного исследования. В отличие от выпускной квалификационной работы бакалавра, ориентированн</w:t>
      </w:r>
      <w:r w:rsidRPr="000F2099">
        <w:rPr>
          <w:lang w:val="ru-RU"/>
        </w:rPr>
        <w:t>ой преимущественно на инженерную разработку, магистерская работа требует обоснованного выбора методов анализа, формализации, моделирования объекта исследования и количественной оценки полученных результатов.</w:t>
      </w:r>
    </w:p>
    <w:p w14:paraId="29E33CC3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Настоящий отчёт представляет собой ответ на </w:t>
      </w:r>
      <w:r w:rsidRPr="000F2099">
        <w:rPr>
          <w:lang w:val="ru-RU"/>
        </w:rPr>
        <w:t>индивидуальное задание по дисциплине «Методология научных исследований» и одновременно — методологическую основу проводимого магистерского исследования. Тема выполняемой диссертации — «Метод автоматизированного синтеза программного кода промышленных контро</w:t>
      </w:r>
      <w:r w:rsidRPr="000F2099">
        <w:rPr>
          <w:lang w:val="ru-RU"/>
        </w:rPr>
        <w:t xml:space="preserve">ллеров на основе </w:t>
      </w:r>
      <w:proofErr w:type="spellStart"/>
      <w:r w:rsidRPr="000F2099">
        <w:rPr>
          <w:lang w:val="ru-RU"/>
        </w:rPr>
        <w:t>графовой</w:t>
      </w:r>
      <w:proofErr w:type="spellEnd"/>
      <w:r w:rsidRPr="000F2099">
        <w:rPr>
          <w:lang w:val="ru-RU"/>
        </w:rPr>
        <w:t xml:space="preserve"> модели схемы автоматизации». Цель диссертации — снижение трудоёмкости и количества ошибок при разработке программного обеспечения автоматизированных систем управления технологическими процессами (АСУ ТП) за счёт автоматизированног</w:t>
      </w:r>
      <w:r w:rsidRPr="000F2099">
        <w:rPr>
          <w:lang w:val="ru-RU"/>
        </w:rPr>
        <w:t xml:space="preserve">о синтеза кода стандарта </w:t>
      </w:r>
      <w:r>
        <w:t>IEC</w:t>
      </w:r>
      <w:r w:rsidRPr="000F2099">
        <w:rPr>
          <w:lang w:val="ru-RU"/>
        </w:rPr>
        <w:t xml:space="preserve"> 61131-3 из формализованного описания электрической схемы.</w:t>
      </w:r>
    </w:p>
    <w:p w14:paraId="0D9ED8B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Объектом исследования настоящего отчёта является методология научных исследований применительно к разработке программного обеспечения промышленных систем управления.</w:t>
      </w:r>
    </w:p>
    <w:p w14:paraId="21EB953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Пре</w:t>
      </w:r>
      <w:r w:rsidRPr="000F2099">
        <w:rPr>
          <w:lang w:val="ru-RU"/>
        </w:rPr>
        <w:t>дметом исследования выступают методы анализа, сохранения и передачи информации цифровыми средствами; методы разработки математических моделей; методы оценки результатов теоретических и экспериментальных исследований, релевантные для задачи автоматизированн</w:t>
      </w:r>
      <w:r w:rsidRPr="000F2099">
        <w:rPr>
          <w:lang w:val="ru-RU"/>
        </w:rPr>
        <w:t>ого синтеза кода ПЛК.</w:t>
      </w:r>
    </w:p>
    <w:p w14:paraId="65C8C23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Задачи отчёта:</w:t>
      </w:r>
    </w:p>
    <w:p w14:paraId="61D074C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1. Систематизировать методы работы с информацией цифровыми средствами и обосновать их выбор для решения научной задачи диссертации.</w:t>
      </w:r>
    </w:p>
    <w:p w14:paraId="151CCF3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2. Изложить классификацию математических моделей и методы их разработки в соответствии </w:t>
      </w:r>
      <w:r w:rsidRPr="000F2099">
        <w:rPr>
          <w:lang w:val="ru-RU"/>
        </w:rPr>
        <w:t>с учебно-методическими материалами дисциплины.</w:t>
      </w:r>
    </w:p>
    <w:p w14:paraId="0D46FB9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3. Рассмотреть критерии и методы оценки результатов исследования, сформулировать количественные метрики для предстоящей экспериментальной апробации метода.</w:t>
      </w:r>
    </w:p>
    <w:p w14:paraId="772E1AE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4. На каждом этапе показать связь рассматриваемой мет</w:t>
      </w:r>
      <w:r w:rsidRPr="000F2099">
        <w:rPr>
          <w:lang w:val="ru-RU"/>
        </w:rPr>
        <w:t>одологии с конкретными решениями, принимаемыми в рамках магистерской диссертации.</w:t>
      </w:r>
    </w:p>
    <w:p w14:paraId="3ECA19D5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Структурно отчёт состоит из трёх разделов, соответствующих трём вопросам индивидуального задания. Каждый раздел содержит теоретическое изложение и завершается подразделом, в </w:t>
      </w:r>
      <w:r w:rsidRPr="000F2099">
        <w:rPr>
          <w:lang w:val="ru-RU"/>
        </w:rPr>
        <w:t>котором рассматривается применение изложенных методов в магистерской диссертации.</w:t>
      </w:r>
    </w:p>
    <w:p w14:paraId="6A4DD00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качестве основных источников использованы лекция «Планирование и проведение научных исследований в области автоматизации и управления технологическими процессами» [1], учеб</w:t>
      </w:r>
      <w:r w:rsidRPr="000F2099">
        <w:rPr>
          <w:lang w:val="ru-RU"/>
        </w:rPr>
        <w:t xml:space="preserve">ное пособие М.С. </w:t>
      </w:r>
      <w:proofErr w:type="spellStart"/>
      <w:r w:rsidRPr="000F2099">
        <w:rPr>
          <w:lang w:val="ru-RU"/>
        </w:rPr>
        <w:t>Кубланова</w:t>
      </w:r>
      <w:proofErr w:type="spellEnd"/>
      <w:r w:rsidRPr="000F2099">
        <w:rPr>
          <w:lang w:val="ru-RU"/>
        </w:rPr>
        <w:t xml:space="preserve"> «Математическое моделирование. Методология и методы разработки математических моделей механических систем и процессов» [2], а также рекомендованные рабочей программой дисциплины учебные пособия [3], [4], [5] и нормативные источни</w:t>
      </w:r>
      <w:r w:rsidRPr="000F2099">
        <w:rPr>
          <w:lang w:val="ru-RU"/>
        </w:rPr>
        <w:t>ки [6], [7].</w:t>
      </w:r>
    </w:p>
    <w:p w14:paraId="4632799B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196FF9B7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1. МЕТОДЫ АНАЛИЗА, СОХРАНЕНИЯ И ПЕРЕДАЧИ ИНФОРМАЦИИ С ИСПОЛЬЗОВАНИЕМ ЦИФРОВЫХ СРЕДСТВ</w:t>
      </w:r>
    </w:p>
    <w:p w14:paraId="77CBA31D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Современное научное исследование неотделимо от цифровых средств работы с информацией. Согласно определению, приведённому в лекции по планированию научных и</w:t>
      </w:r>
      <w:r w:rsidRPr="000F2099">
        <w:rPr>
          <w:lang w:val="ru-RU"/>
        </w:rPr>
        <w:t xml:space="preserve">сследований [1], наука представляет собой сферу деятельности, имеющую целью сбор, накопление, классификацию, анализ, обобщение, передачу и использование достоверных сведений. Каждая из этих стадий в современной практике опирается на цифровые инструменты — </w:t>
      </w:r>
      <w:r w:rsidRPr="000F2099">
        <w:rPr>
          <w:lang w:val="ru-RU"/>
        </w:rPr>
        <w:t>от методов сбора данных до распределённых систем хранения и сетевых протоколов передачи.</w:t>
      </w:r>
    </w:p>
    <w:p w14:paraId="5A3D943B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1.1 Методы анализа информации</w:t>
      </w:r>
    </w:p>
    <w:p w14:paraId="076C8FA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соответствии с трёхуровневой моделью научного знания [1], методы анализа информации классифицируются по уровням, на которых они применя</w:t>
      </w:r>
      <w:r w:rsidRPr="000F2099">
        <w:rPr>
          <w:lang w:val="ru-RU"/>
        </w:rPr>
        <w:t>ются.</w:t>
      </w:r>
    </w:p>
    <w:p w14:paraId="6ACFA29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Эмпирический уровень. Методы данного уровня обеспечивают получение знаний непосредственно из опыта:</w:t>
      </w:r>
    </w:p>
    <w:p w14:paraId="3A9CE85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наблюдение — целенаправленное восприятие явлений объективной действительности; в современных исследованиях АСУ ТП реализуется через сбор </w:t>
      </w:r>
      <w:r w:rsidRPr="000F2099">
        <w:rPr>
          <w:lang w:val="ru-RU"/>
        </w:rPr>
        <w:t>телеметрии и журналов событий с действующих производств;</w:t>
      </w:r>
    </w:p>
    <w:p w14:paraId="308A7D6B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измерение — выявление количественных характеристик изучаемой реальности; различают прямые и косвенные измерения;</w:t>
      </w:r>
    </w:p>
    <w:p w14:paraId="4BFA389A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эксперимент — наблюдение в специально созданных и контролируемых условиях для выяв</w:t>
      </w:r>
      <w:r w:rsidRPr="000F2099">
        <w:rPr>
          <w:lang w:val="ru-RU"/>
        </w:rPr>
        <w:t>ления существенных характеристик изучаемого объекта; обладает свойствами устранения побочных факторов, возможности создания экстремальных условий и воспроизводимости результатов.</w:t>
      </w:r>
    </w:p>
    <w:p w14:paraId="595A57C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lastRenderedPageBreak/>
        <w:t>Теоретический уровень. Методы данного уровня обеспечивают получение знаний пу</w:t>
      </w:r>
      <w:r w:rsidRPr="000F2099">
        <w:rPr>
          <w:lang w:val="ru-RU"/>
        </w:rPr>
        <w:t>тём отвлечённого рассуждения:</w:t>
      </w:r>
    </w:p>
    <w:p w14:paraId="79E5E2A6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абстрагирование — мысленное отвлечение от несущественных признаков с выделением главных;</w:t>
      </w:r>
    </w:p>
    <w:p w14:paraId="0335027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идеализация — мысленное внесение изменений в изучаемый объект в соответствии с целями исследования;</w:t>
      </w:r>
    </w:p>
    <w:p w14:paraId="23ABD14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формализация — замена слов симв</w:t>
      </w:r>
      <w:r w:rsidRPr="000F2099">
        <w:rPr>
          <w:lang w:val="ru-RU"/>
        </w:rPr>
        <w:t>олами для математического описания закономерностей; включает построение алфавита и правил построения формул;</w:t>
      </w:r>
    </w:p>
    <w:p w14:paraId="1187EF3B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индукция — получение общего вывода на частных умозаключениях;</w:t>
      </w:r>
    </w:p>
    <w:p w14:paraId="26F1668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дедукция — получение частных выводов на общих положениях;</w:t>
      </w:r>
    </w:p>
    <w:p w14:paraId="15F7167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моделирование — изуче</w:t>
      </w:r>
      <w:r w:rsidRPr="000F2099">
        <w:rPr>
          <w:lang w:val="ru-RU"/>
        </w:rPr>
        <w:t>ние явления на специально сконструированной модели.</w:t>
      </w:r>
    </w:p>
    <w:p w14:paraId="4324DF3E" w14:textId="77777777" w:rsidR="00856E25" w:rsidRPr="000F2099" w:rsidRDefault="005566DE">
      <w:pPr>
        <w:jc w:val="both"/>
        <w:rPr>
          <w:lang w:val="ru-RU"/>
        </w:rPr>
      </w:pPr>
      <w:proofErr w:type="spellStart"/>
      <w:r w:rsidRPr="000F2099">
        <w:rPr>
          <w:lang w:val="ru-RU"/>
        </w:rPr>
        <w:t>Метатеоретический</w:t>
      </w:r>
      <w:proofErr w:type="spellEnd"/>
      <w:r w:rsidRPr="000F2099">
        <w:rPr>
          <w:lang w:val="ru-RU"/>
        </w:rPr>
        <w:t xml:space="preserve"> уровень обеспечивает приведение в соответствие содержания научных теорий с общенаучными представлениями об идеалах и нормах науки и философских основаниях научного знания.</w:t>
      </w:r>
    </w:p>
    <w:p w14:paraId="7895207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 статистическ</w:t>
      </w:r>
      <w:r w:rsidRPr="000F2099">
        <w:rPr>
          <w:lang w:val="ru-RU"/>
        </w:rPr>
        <w:t>им методам анализа, применяемым на эмпирическом уровне, относятся методы математической статистики: вычисление точечных и интервальных оценок параметров распределений, проверка статистических гипотез, корреляционный и регрессионный анализ. Эти методы приме</w:t>
      </w:r>
      <w:r w:rsidRPr="000F2099">
        <w:rPr>
          <w:lang w:val="ru-RU"/>
        </w:rPr>
        <w:t>няются в основном при обработке результатов эксперимента (см. раздел 3).</w:t>
      </w:r>
    </w:p>
    <w:p w14:paraId="0C0B785C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1.2 Методы сохранения информации цифровыми средствами</w:t>
      </w:r>
    </w:p>
    <w:p w14:paraId="2F15101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Сохранение информации в современных научно-технических исследованиях обеспечивается следующими группами цифровых средств.</w:t>
      </w:r>
    </w:p>
    <w:p w14:paraId="5617958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Файловы</w:t>
      </w:r>
      <w:r w:rsidRPr="000F2099">
        <w:rPr>
          <w:lang w:val="ru-RU"/>
        </w:rPr>
        <w:t>е форматы. Различают:</w:t>
      </w:r>
    </w:p>
    <w:p w14:paraId="61CF4A75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текстовые структурированные форматы (</w:t>
      </w:r>
      <w:r>
        <w:t>JSON</w:t>
      </w:r>
      <w:r w:rsidRPr="000F2099">
        <w:rPr>
          <w:lang w:val="ru-RU"/>
        </w:rPr>
        <w:t xml:space="preserve">, </w:t>
      </w:r>
      <w:r>
        <w:t>XML</w:t>
      </w:r>
      <w:r w:rsidRPr="000F2099">
        <w:rPr>
          <w:lang w:val="ru-RU"/>
        </w:rPr>
        <w:t xml:space="preserve">, </w:t>
      </w:r>
      <w:r>
        <w:t>YAML</w:t>
      </w:r>
      <w:r w:rsidRPr="000F2099">
        <w:rPr>
          <w:lang w:val="ru-RU"/>
        </w:rPr>
        <w:t xml:space="preserve">), удобные для обмена данными между подсистемами и </w:t>
      </w:r>
      <w:proofErr w:type="spellStart"/>
      <w:r w:rsidRPr="000F2099">
        <w:rPr>
          <w:lang w:val="ru-RU"/>
        </w:rPr>
        <w:t>человекочитаемые</w:t>
      </w:r>
      <w:proofErr w:type="spellEnd"/>
      <w:r w:rsidRPr="000F2099">
        <w:rPr>
          <w:lang w:val="ru-RU"/>
        </w:rPr>
        <w:t>;</w:t>
      </w:r>
    </w:p>
    <w:p w14:paraId="6868471D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— бинарные форматы (</w:t>
      </w:r>
      <w:r>
        <w:t>Protocol</w:t>
      </w:r>
      <w:r w:rsidRPr="000F2099">
        <w:rPr>
          <w:lang w:val="ru-RU"/>
        </w:rPr>
        <w:t xml:space="preserve"> </w:t>
      </w:r>
      <w:r>
        <w:t>Buffers</w:t>
      </w:r>
      <w:r w:rsidRPr="000F2099">
        <w:rPr>
          <w:lang w:val="ru-RU"/>
        </w:rPr>
        <w:t xml:space="preserve">, </w:t>
      </w:r>
      <w:r>
        <w:t>Apache</w:t>
      </w:r>
      <w:r w:rsidRPr="000F2099">
        <w:rPr>
          <w:lang w:val="ru-RU"/>
        </w:rPr>
        <w:t xml:space="preserve"> </w:t>
      </w:r>
      <w:r>
        <w:t>Avro</w:t>
      </w:r>
      <w:r w:rsidRPr="000F2099">
        <w:rPr>
          <w:lang w:val="ru-RU"/>
        </w:rPr>
        <w:t xml:space="preserve">, </w:t>
      </w:r>
      <w:r>
        <w:t>SQLite</w:t>
      </w:r>
      <w:r w:rsidRPr="000F2099">
        <w:rPr>
          <w:lang w:val="ru-RU"/>
        </w:rPr>
        <w:t>), обеспечивающие компактное хранение и высокую скорос</w:t>
      </w:r>
      <w:r w:rsidRPr="000F2099">
        <w:rPr>
          <w:lang w:val="ru-RU"/>
        </w:rPr>
        <w:t xml:space="preserve">ть </w:t>
      </w:r>
      <w:proofErr w:type="spellStart"/>
      <w:r w:rsidRPr="000F2099">
        <w:rPr>
          <w:lang w:val="ru-RU"/>
        </w:rPr>
        <w:t>сериализации</w:t>
      </w:r>
      <w:proofErr w:type="spellEnd"/>
      <w:r w:rsidRPr="000F2099">
        <w:rPr>
          <w:lang w:val="ru-RU"/>
        </w:rPr>
        <w:t>/</w:t>
      </w:r>
      <w:proofErr w:type="spellStart"/>
      <w:r w:rsidRPr="000F2099">
        <w:rPr>
          <w:lang w:val="ru-RU"/>
        </w:rPr>
        <w:t>десериализации</w:t>
      </w:r>
      <w:proofErr w:type="spellEnd"/>
      <w:r w:rsidRPr="000F2099">
        <w:rPr>
          <w:lang w:val="ru-RU"/>
        </w:rPr>
        <w:t>;</w:t>
      </w:r>
    </w:p>
    <w:p w14:paraId="037D10D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стандартизированные форматы инженерных данных предметной области: </w:t>
      </w:r>
      <w:proofErr w:type="spellStart"/>
      <w:r>
        <w:t>AutomationML</w:t>
      </w:r>
      <w:proofErr w:type="spellEnd"/>
      <w:r w:rsidRPr="000F2099">
        <w:rPr>
          <w:lang w:val="ru-RU"/>
        </w:rPr>
        <w:t xml:space="preserve"> — индустриальный стандарт обмена инженерными данными между </w:t>
      </w:r>
      <w:r>
        <w:t>ECAD</w:t>
      </w:r>
      <w:r w:rsidRPr="000F2099">
        <w:rPr>
          <w:lang w:val="ru-RU"/>
        </w:rPr>
        <w:t xml:space="preserve">- и </w:t>
      </w:r>
      <w:r>
        <w:t>PLC</w:t>
      </w:r>
      <w:r w:rsidRPr="000F2099">
        <w:rPr>
          <w:lang w:val="ru-RU"/>
        </w:rPr>
        <w:t xml:space="preserve">-системами; </w:t>
      </w:r>
      <w:proofErr w:type="spellStart"/>
      <w:r>
        <w:t>PLCOpen</w:t>
      </w:r>
      <w:proofErr w:type="spellEnd"/>
      <w:r w:rsidRPr="000F2099">
        <w:rPr>
          <w:lang w:val="ru-RU"/>
        </w:rPr>
        <w:t xml:space="preserve"> </w:t>
      </w:r>
      <w:r>
        <w:t>XML</w:t>
      </w:r>
      <w:r w:rsidRPr="000F2099">
        <w:rPr>
          <w:lang w:val="ru-RU"/>
        </w:rPr>
        <w:t xml:space="preserve"> — формат обмена программами стандарта </w:t>
      </w:r>
      <w:r>
        <w:t>IEC</w:t>
      </w:r>
      <w:r w:rsidRPr="000F2099">
        <w:rPr>
          <w:lang w:val="ru-RU"/>
        </w:rPr>
        <w:t xml:space="preserve"> 61131-3</w:t>
      </w:r>
      <w:r w:rsidRPr="000F2099">
        <w:rPr>
          <w:lang w:val="ru-RU"/>
        </w:rPr>
        <w:t xml:space="preserve"> между интегрированными средами разработки промышленных контроллеров.</w:t>
      </w:r>
    </w:p>
    <w:p w14:paraId="6FFC7BE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Системы управления базами данных. Классифицируются по модели хранения:</w:t>
      </w:r>
    </w:p>
    <w:p w14:paraId="442AE8D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реляционные СУБД (</w:t>
      </w:r>
      <w:r>
        <w:t>PostgreSQL</w:t>
      </w:r>
      <w:r w:rsidRPr="000F2099">
        <w:rPr>
          <w:lang w:val="ru-RU"/>
        </w:rPr>
        <w:t xml:space="preserve">, </w:t>
      </w:r>
      <w:r>
        <w:t>MySQL</w:t>
      </w:r>
      <w:r w:rsidRPr="000F2099">
        <w:rPr>
          <w:lang w:val="ru-RU"/>
        </w:rPr>
        <w:t xml:space="preserve">, </w:t>
      </w:r>
      <w:r>
        <w:t>Oracle</w:t>
      </w:r>
      <w:r w:rsidRPr="000F2099">
        <w:rPr>
          <w:lang w:val="ru-RU"/>
        </w:rPr>
        <w:t>) — для типизированных табличных данных;</w:t>
      </w:r>
    </w:p>
    <w:p w14:paraId="3D32A345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proofErr w:type="spellStart"/>
      <w:r w:rsidRPr="000F2099">
        <w:rPr>
          <w:lang w:val="ru-RU"/>
        </w:rPr>
        <w:t>документоориентированные</w:t>
      </w:r>
      <w:proofErr w:type="spellEnd"/>
      <w:r w:rsidRPr="000F2099">
        <w:rPr>
          <w:lang w:val="ru-RU"/>
        </w:rPr>
        <w:t xml:space="preserve"> СУ</w:t>
      </w:r>
      <w:r w:rsidRPr="000F2099">
        <w:rPr>
          <w:lang w:val="ru-RU"/>
        </w:rPr>
        <w:t>БД (</w:t>
      </w:r>
      <w:r>
        <w:t>MongoDB</w:t>
      </w:r>
      <w:r w:rsidRPr="000F2099">
        <w:rPr>
          <w:lang w:val="ru-RU"/>
        </w:rPr>
        <w:t xml:space="preserve">, </w:t>
      </w:r>
      <w:r>
        <w:t>CouchDB</w:t>
      </w:r>
      <w:r w:rsidRPr="000F2099">
        <w:rPr>
          <w:lang w:val="ru-RU"/>
        </w:rPr>
        <w:t xml:space="preserve">) — для иерархических </w:t>
      </w:r>
      <w:proofErr w:type="spellStart"/>
      <w:r w:rsidRPr="000F2099">
        <w:rPr>
          <w:lang w:val="ru-RU"/>
        </w:rPr>
        <w:t>полуструктурированных</w:t>
      </w:r>
      <w:proofErr w:type="spellEnd"/>
      <w:r w:rsidRPr="000F2099">
        <w:rPr>
          <w:lang w:val="ru-RU"/>
        </w:rPr>
        <w:t xml:space="preserve"> описаний;</w:t>
      </w:r>
    </w:p>
    <w:p w14:paraId="5AAE65E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proofErr w:type="spellStart"/>
      <w:r w:rsidRPr="000F2099">
        <w:rPr>
          <w:lang w:val="ru-RU"/>
        </w:rPr>
        <w:t>графовые</w:t>
      </w:r>
      <w:proofErr w:type="spellEnd"/>
      <w:r w:rsidRPr="000F2099">
        <w:rPr>
          <w:lang w:val="ru-RU"/>
        </w:rPr>
        <w:t xml:space="preserve"> СУБД (</w:t>
      </w:r>
      <w:r>
        <w:t>Neo</w:t>
      </w:r>
      <w:r w:rsidRPr="000F2099">
        <w:rPr>
          <w:lang w:val="ru-RU"/>
        </w:rPr>
        <w:t>4</w:t>
      </w:r>
      <w:r>
        <w:t>j</w:t>
      </w:r>
      <w:r w:rsidRPr="000F2099">
        <w:rPr>
          <w:lang w:val="ru-RU"/>
        </w:rPr>
        <w:t xml:space="preserve">, </w:t>
      </w:r>
      <w:proofErr w:type="spellStart"/>
      <w:r>
        <w:t>ArangoDB</w:t>
      </w:r>
      <w:proofErr w:type="spellEnd"/>
      <w:r w:rsidRPr="000F2099">
        <w:rPr>
          <w:lang w:val="ru-RU"/>
        </w:rPr>
        <w:t xml:space="preserve">, </w:t>
      </w:r>
      <w:proofErr w:type="spellStart"/>
      <w:r>
        <w:t>TigerGraph</w:t>
      </w:r>
      <w:proofErr w:type="spellEnd"/>
      <w:r w:rsidRPr="000F2099">
        <w:rPr>
          <w:lang w:val="ru-RU"/>
        </w:rPr>
        <w:t xml:space="preserve">) — для данных с естественной </w:t>
      </w:r>
      <w:proofErr w:type="spellStart"/>
      <w:r w:rsidRPr="000F2099">
        <w:rPr>
          <w:lang w:val="ru-RU"/>
        </w:rPr>
        <w:t>графовой</w:t>
      </w:r>
      <w:proofErr w:type="spellEnd"/>
      <w:r w:rsidRPr="000F2099">
        <w:rPr>
          <w:lang w:val="ru-RU"/>
        </w:rPr>
        <w:t xml:space="preserve"> структурой, в частности — топологии инженерных сетей и связей между компонентами систем управления.</w:t>
      </w:r>
    </w:p>
    <w:p w14:paraId="6F87647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Системы контроля версий. Системы класса </w:t>
      </w:r>
      <w:r>
        <w:t>Git</w:t>
      </w:r>
      <w:r w:rsidRPr="000F2099">
        <w:rPr>
          <w:lang w:val="ru-RU"/>
        </w:rPr>
        <w:t xml:space="preserve"> обеспечивают </w:t>
      </w:r>
      <w:proofErr w:type="spellStart"/>
      <w:r w:rsidRPr="000F2099">
        <w:rPr>
          <w:lang w:val="ru-RU"/>
        </w:rPr>
        <w:t>версионирование</w:t>
      </w:r>
      <w:proofErr w:type="spellEnd"/>
      <w:r w:rsidRPr="000F2099">
        <w:rPr>
          <w:lang w:val="ru-RU"/>
        </w:rPr>
        <w:t xml:space="preserve"> исходного кода, проектных файлов и результатов эксперимента, поддерживают распределённую коллаборацию и неизменяемую историю изменений, что критично для воспроизводимости научного ис</w:t>
      </w:r>
      <w:r w:rsidRPr="000F2099">
        <w:rPr>
          <w:lang w:val="ru-RU"/>
        </w:rPr>
        <w:t>следования.</w:t>
      </w:r>
    </w:p>
    <w:p w14:paraId="38253EF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Облачные хранилища и репозитории научных данных. Зарубежные репозитории (</w:t>
      </w:r>
      <w:proofErr w:type="spellStart"/>
      <w:r>
        <w:t>Zenodo</w:t>
      </w:r>
      <w:proofErr w:type="spellEnd"/>
      <w:r w:rsidRPr="000F2099">
        <w:rPr>
          <w:lang w:val="ru-RU"/>
        </w:rPr>
        <w:t xml:space="preserve">, </w:t>
      </w:r>
      <w:proofErr w:type="spellStart"/>
      <w:r>
        <w:t>Figshare</w:t>
      </w:r>
      <w:proofErr w:type="spellEnd"/>
      <w:r w:rsidRPr="000F2099">
        <w:rPr>
          <w:lang w:val="ru-RU"/>
        </w:rPr>
        <w:t>) и отечественные системы (</w:t>
      </w:r>
      <w:proofErr w:type="spellStart"/>
      <w:r>
        <w:t>eLibrary</w:t>
      </w:r>
      <w:proofErr w:type="spellEnd"/>
      <w:r w:rsidRPr="000F2099">
        <w:rPr>
          <w:lang w:val="ru-RU"/>
        </w:rPr>
        <w:t>.</w:t>
      </w:r>
      <w:proofErr w:type="spellStart"/>
      <w:r>
        <w:t>ru</w:t>
      </w:r>
      <w:proofErr w:type="spellEnd"/>
      <w:r w:rsidRPr="000F2099">
        <w:rPr>
          <w:lang w:val="ru-RU"/>
        </w:rPr>
        <w:t>) обеспечивают долговременное хранение и публикацию данных научного исследования с присвоением постоянных идентификат</w:t>
      </w:r>
      <w:r w:rsidRPr="000F2099">
        <w:rPr>
          <w:lang w:val="ru-RU"/>
        </w:rPr>
        <w:t>оров (</w:t>
      </w:r>
      <w:r>
        <w:t>DOI</w:t>
      </w:r>
      <w:r w:rsidRPr="000F2099">
        <w:rPr>
          <w:lang w:val="ru-RU"/>
        </w:rPr>
        <w:t>).</w:t>
      </w:r>
    </w:p>
    <w:p w14:paraId="07EE0DCF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lastRenderedPageBreak/>
        <w:t>1.3 Методы передачи информации</w:t>
      </w:r>
    </w:p>
    <w:p w14:paraId="529483E2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Передача информации в современной научно-технической практике реализуется на следующих уровнях.</w:t>
      </w:r>
    </w:p>
    <w:p w14:paraId="26944C1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Универсальные сетевые протоколы прикладного уровня:</w:t>
      </w:r>
    </w:p>
    <w:p w14:paraId="22380A2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r>
        <w:t>HTTP</w:t>
      </w:r>
      <w:r w:rsidRPr="000F2099">
        <w:rPr>
          <w:lang w:val="ru-RU"/>
        </w:rPr>
        <w:t>/</w:t>
      </w:r>
      <w:r>
        <w:t>HTTPS</w:t>
      </w:r>
      <w:r w:rsidRPr="000F2099">
        <w:rPr>
          <w:lang w:val="ru-RU"/>
        </w:rPr>
        <w:t xml:space="preserve"> и архитектурный стиль </w:t>
      </w:r>
      <w:r>
        <w:t>REST</w:t>
      </w:r>
      <w:r w:rsidRPr="000F2099">
        <w:rPr>
          <w:lang w:val="ru-RU"/>
        </w:rPr>
        <w:t xml:space="preserve"> — основа </w:t>
      </w:r>
      <w:r w:rsidRPr="000F2099">
        <w:rPr>
          <w:lang w:val="ru-RU"/>
        </w:rPr>
        <w:t>взаимодействия веб-сервисов;</w:t>
      </w:r>
    </w:p>
    <w:p w14:paraId="5AE9BD40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proofErr w:type="spellStart"/>
      <w:r>
        <w:t>gRPC</w:t>
      </w:r>
      <w:proofErr w:type="spellEnd"/>
      <w:r w:rsidRPr="000F2099">
        <w:rPr>
          <w:lang w:val="ru-RU"/>
        </w:rPr>
        <w:t xml:space="preserve"> — высокопроизводительный протокол вызова удалённых процедур на основе </w:t>
      </w:r>
      <w:r>
        <w:t>HTTP</w:t>
      </w:r>
      <w:r w:rsidRPr="000F2099">
        <w:rPr>
          <w:lang w:val="ru-RU"/>
        </w:rPr>
        <w:t xml:space="preserve">/2 и </w:t>
      </w:r>
      <w:r>
        <w:t>Protocol</w:t>
      </w:r>
      <w:r w:rsidRPr="000F2099">
        <w:rPr>
          <w:lang w:val="ru-RU"/>
        </w:rPr>
        <w:t xml:space="preserve"> </w:t>
      </w:r>
      <w:r>
        <w:t>Buffers</w:t>
      </w:r>
      <w:r w:rsidRPr="000F2099">
        <w:rPr>
          <w:lang w:val="ru-RU"/>
        </w:rPr>
        <w:t>;</w:t>
      </w:r>
    </w:p>
    <w:p w14:paraId="540E269A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r>
        <w:t>WebSocket</w:t>
      </w:r>
      <w:r w:rsidRPr="000F2099">
        <w:rPr>
          <w:lang w:val="ru-RU"/>
        </w:rPr>
        <w:t xml:space="preserve"> — протокол двунаправленной связи в реальном времени, применяется в системах </w:t>
      </w:r>
      <w:proofErr w:type="spellStart"/>
      <w:r w:rsidRPr="000F2099">
        <w:rPr>
          <w:lang w:val="ru-RU"/>
        </w:rPr>
        <w:t>коллаборативной</w:t>
      </w:r>
      <w:proofErr w:type="spellEnd"/>
      <w:r w:rsidRPr="000F2099">
        <w:rPr>
          <w:lang w:val="ru-RU"/>
        </w:rPr>
        <w:t xml:space="preserve"> работы.</w:t>
      </w:r>
    </w:p>
    <w:p w14:paraId="3DEBC06E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Промышленны</w:t>
      </w:r>
      <w:r w:rsidRPr="000F2099">
        <w:rPr>
          <w:lang w:val="ru-RU"/>
        </w:rPr>
        <w:t>е протоколы передачи данных АСУ ТП:</w:t>
      </w:r>
    </w:p>
    <w:p w14:paraId="184217AD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r>
        <w:t>OPC</w:t>
      </w:r>
      <w:r w:rsidRPr="000F2099">
        <w:rPr>
          <w:lang w:val="ru-RU"/>
        </w:rPr>
        <w:t xml:space="preserve"> </w:t>
      </w:r>
      <w:r>
        <w:t>UA</w:t>
      </w:r>
      <w:r w:rsidRPr="000F2099">
        <w:rPr>
          <w:lang w:val="ru-RU"/>
        </w:rPr>
        <w:t xml:space="preserve"> (</w:t>
      </w:r>
      <w:r>
        <w:t>IEC</w:t>
      </w:r>
      <w:r w:rsidRPr="000F2099">
        <w:rPr>
          <w:lang w:val="ru-RU"/>
        </w:rPr>
        <w:t xml:space="preserve"> 62541) — открытый промышленный стандарт обмена данными в системах автоматизации, обеспечивающий межуровневую интеграцию от полевого оборудования до уровня </w:t>
      </w:r>
      <w:r>
        <w:t>ERP</w:t>
      </w:r>
      <w:r w:rsidRPr="000F2099">
        <w:rPr>
          <w:lang w:val="ru-RU"/>
        </w:rPr>
        <w:t>;</w:t>
      </w:r>
    </w:p>
    <w:p w14:paraId="3A9307E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r>
        <w:t>Modbus</w:t>
      </w:r>
      <w:r w:rsidRPr="000F2099">
        <w:rPr>
          <w:lang w:val="ru-RU"/>
        </w:rPr>
        <w:t xml:space="preserve"> </w:t>
      </w:r>
      <w:r>
        <w:t>TCP</w:t>
      </w:r>
      <w:r w:rsidRPr="000F2099">
        <w:rPr>
          <w:lang w:val="ru-RU"/>
        </w:rPr>
        <w:t xml:space="preserve"> — широко распространённый протоко</w:t>
      </w:r>
      <w:r w:rsidRPr="000F2099">
        <w:rPr>
          <w:lang w:val="ru-RU"/>
        </w:rPr>
        <w:t xml:space="preserve">л связи между ПЛК и </w:t>
      </w:r>
      <w:r>
        <w:t>SCADA</w:t>
      </w:r>
      <w:r w:rsidRPr="000F2099">
        <w:rPr>
          <w:lang w:val="ru-RU"/>
        </w:rPr>
        <w:t>-системами;</w:t>
      </w:r>
    </w:p>
    <w:p w14:paraId="35A35B1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</w:t>
      </w:r>
      <w:r>
        <w:t>MQTT</w:t>
      </w:r>
      <w:r w:rsidRPr="000F2099">
        <w:rPr>
          <w:lang w:val="ru-RU"/>
        </w:rPr>
        <w:t xml:space="preserve"> — протокол публикации-подписки с минимальными накладными расходами, применяется в системах промышленного интернета вещей (</w:t>
      </w:r>
      <w:proofErr w:type="spellStart"/>
      <w:r>
        <w:t>IIoT</w:t>
      </w:r>
      <w:proofErr w:type="spellEnd"/>
      <w:r w:rsidRPr="000F2099">
        <w:rPr>
          <w:lang w:val="ru-RU"/>
        </w:rPr>
        <w:t>).</w:t>
      </w:r>
    </w:p>
    <w:p w14:paraId="56EAA5A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Форматы </w:t>
      </w:r>
      <w:proofErr w:type="spellStart"/>
      <w:r w:rsidRPr="000F2099">
        <w:rPr>
          <w:lang w:val="ru-RU"/>
        </w:rPr>
        <w:t>сериализации</w:t>
      </w:r>
      <w:proofErr w:type="spellEnd"/>
      <w:r w:rsidRPr="000F2099">
        <w:rPr>
          <w:lang w:val="ru-RU"/>
        </w:rPr>
        <w:t xml:space="preserve"> данных (</w:t>
      </w:r>
      <w:r>
        <w:t>JSON</w:t>
      </w:r>
      <w:r w:rsidRPr="000F2099">
        <w:rPr>
          <w:lang w:val="ru-RU"/>
        </w:rPr>
        <w:t xml:space="preserve">, </w:t>
      </w:r>
      <w:r>
        <w:t>XML</w:t>
      </w:r>
      <w:r w:rsidRPr="000F2099">
        <w:rPr>
          <w:lang w:val="ru-RU"/>
        </w:rPr>
        <w:t xml:space="preserve">, </w:t>
      </w:r>
      <w:r>
        <w:t>Protocol</w:t>
      </w:r>
      <w:r w:rsidRPr="000F2099">
        <w:rPr>
          <w:lang w:val="ru-RU"/>
        </w:rPr>
        <w:t xml:space="preserve"> </w:t>
      </w:r>
      <w:r>
        <w:t>Buffers</w:t>
      </w:r>
      <w:r w:rsidRPr="000F2099">
        <w:rPr>
          <w:lang w:val="ru-RU"/>
        </w:rPr>
        <w:t xml:space="preserve">, </w:t>
      </w:r>
      <w:proofErr w:type="spellStart"/>
      <w:r>
        <w:t>MessagePack</w:t>
      </w:r>
      <w:proofErr w:type="spellEnd"/>
      <w:r w:rsidRPr="000F2099">
        <w:rPr>
          <w:lang w:val="ru-RU"/>
        </w:rPr>
        <w:t>) обеспечивают</w:t>
      </w:r>
      <w:r w:rsidRPr="000F2099">
        <w:rPr>
          <w:lang w:val="ru-RU"/>
        </w:rPr>
        <w:t xml:space="preserve"> преобразование структурированных объектов в передаваемые по сети последовательности байтов и обратно.</w:t>
      </w:r>
    </w:p>
    <w:p w14:paraId="02E29E4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Согласно критериям научности, рассмотренным в лекции [1], корректность передачи и сохранения научных данных является необходимым условием обеспечения сво</w:t>
      </w:r>
      <w:r w:rsidRPr="000F2099">
        <w:rPr>
          <w:lang w:val="ru-RU"/>
        </w:rPr>
        <w:t>йств системности, достоверности и преемственности научного знания: новые знания должны соотноситься со старыми, а результаты исследования — допускать независимую проверку.</w:t>
      </w:r>
    </w:p>
    <w:p w14:paraId="4ADF3873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lastRenderedPageBreak/>
        <w:t>1.4 Применение рассмотренных методов в магистерской диссертации</w:t>
      </w:r>
    </w:p>
    <w:p w14:paraId="70857D2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выполняемой магист</w:t>
      </w:r>
      <w:r w:rsidRPr="000F2099">
        <w:rPr>
          <w:lang w:val="ru-RU"/>
        </w:rPr>
        <w:t>ерской диссертации рассмотренные методы работы с информацией применяются следующим образом.</w:t>
      </w:r>
    </w:p>
    <w:p w14:paraId="4C1E344D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На этапе анализа предметной области применяется ключевой теоретический метод — формализация. Электрическая схема автоматизации, традиционно представляемая в виде гр</w:t>
      </w:r>
      <w:r w:rsidRPr="000F2099">
        <w:rPr>
          <w:lang w:val="ru-RU"/>
        </w:rPr>
        <w:t xml:space="preserve">афического чертежа, формализуется как ориентированный граф </w:t>
      </w:r>
      <w:r>
        <w:t>G</w:t>
      </w:r>
      <w:r w:rsidRPr="000F2099">
        <w:rPr>
          <w:lang w:val="ru-RU"/>
        </w:rPr>
        <w:t xml:space="preserve"> = (</w:t>
      </w:r>
      <w:r>
        <w:t>V</w:t>
      </w:r>
      <w:r w:rsidRPr="000F2099">
        <w:rPr>
          <w:lang w:val="ru-RU"/>
        </w:rPr>
        <w:t xml:space="preserve">, </w:t>
      </w:r>
      <w:r>
        <w:t>E</w:t>
      </w:r>
      <w:r w:rsidRPr="000F2099">
        <w:rPr>
          <w:lang w:val="ru-RU"/>
        </w:rPr>
        <w:t xml:space="preserve">), где множество вершин </w:t>
      </w:r>
      <w:r>
        <w:t>V</w:t>
      </w:r>
      <w:r w:rsidRPr="000F2099">
        <w:rPr>
          <w:lang w:val="ru-RU"/>
        </w:rPr>
        <w:t xml:space="preserve"> включает типизированные компоненты (контроллер, модули ввода-вывода, датчики, исполнительные устройства), а множество рёбер </w:t>
      </w:r>
      <w:r>
        <w:t>E</w:t>
      </w:r>
      <w:r w:rsidRPr="000F2099">
        <w:rPr>
          <w:lang w:val="ru-RU"/>
        </w:rPr>
        <w:t xml:space="preserve"> — физические и логические связи межд</w:t>
      </w:r>
      <w:r w:rsidRPr="000F2099">
        <w:rPr>
          <w:lang w:val="ru-RU"/>
        </w:rPr>
        <w:t>у ними. Такая формализация позволяет применить математический аппарат теории графов для решения задачи автоматизированного синтеза программного кода.</w:t>
      </w:r>
    </w:p>
    <w:p w14:paraId="3DC95B9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Дополнительно применяются методы абстрагирования и идеализации: из всего многообразия физических характери</w:t>
      </w:r>
      <w:r w:rsidRPr="000F2099">
        <w:rPr>
          <w:lang w:val="ru-RU"/>
        </w:rPr>
        <w:t xml:space="preserve">стик электрической схемы выделяются только те, которые существенны для задачи синтеза кода стандарта </w:t>
      </w:r>
      <w:r>
        <w:t>IEC</w:t>
      </w:r>
      <w:r w:rsidRPr="000F2099">
        <w:rPr>
          <w:lang w:val="ru-RU"/>
        </w:rPr>
        <w:t xml:space="preserve"> 61131-3 — типы сигналов (дискретный/аналоговый), направления связей, адресация портов. Несущественные характеристики (геометрические размеры, цветовая </w:t>
      </w:r>
      <w:r w:rsidRPr="000F2099">
        <w:rPr>
          <w:lang w:val="ru-RU"/>
        </w:rPr>
        <w:t>маркировка, материал проводников) отбрасываются.</w:t>
      </w:r>
    </w:p>
    <w:p w14:paraId="70CBA61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На этапе сохранения данных используется:</w:t>
      </w:r>
    </w:p>
    <w:p w14:paraId="4FAFB25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текстовый формат </w:t>
      </w:r>
      <w:r>
        <w:t>JSON</w:t>
      </w:r>
      <w:r w:rsidRPr="000F2099">
        <w:rPr>
          <w:lang w:val="ru-RU"/>
        </w:rPr>
        <w:t xml:space="preserve"> в качестве входного описания графа схемы для разрабатываемого </w:t>
      </w:r>
      <w:proofErr w:type="spellStart"/>
      <w:r w:rsidRPr="000F2099">
        <w:rPr>
          <w:lang w:val="ru-RU"/>
        </w:rPr>
        <w:t>микросервиса</w:t>
      </w:r>
      <w:proofErr w:type="spellEnd"/>
      <w:r w:rsidRPr="000F2099">
        <w:rPr>
          <w:lang w:val="ru-RU"/>
        </w:rPr>
        <w:t xml:space="preserve"> (выбран ввиду читаемости, широкой поддержки в инструментах разработ</w:t>
      </w:r>
      <w:r w:rsidRPr="000F2099">
        <w:rPr>
          <w:lang w:val="ru-RU"/>
        </w:rPr>
        <w:t xml:space="preserve">ки и наличия стандартизированных </w:t>
      </w:r>
      <w:r>
        <w:t>JSON</w:t>
      </w:r>
      <w:r w:rsidRPr="000F2099">
        <w:rPr>
          <w:lang w:val="ru-RU"/>
        </w:rPr>
        <w:t>-схем для валидации);</w:t>
      </w:r>
    </w:p>
    <w:p w14:paraId="2258D845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формат </w:t>
      </w:r>
      <w:proofErr w:type="spellStart"/>
      <w:r>
        <w:t>PLCOpen</w:t>
      </w:r>
      <w:proofErr w:type="spellEnd"/>
      <w:r w:rsidRPr="000F2099">
        <w:rPr>
          <w:lang w:val="ru-RU"/>
        </w:rPr>
        <w:t xml:space="preserve"> </w:t>
      </w:r>
      <w:r>
        <w:t>XML</w:t>
      </w:r>
      <w:r w:rsidRPr="000F2099">
        <w:rPr>
          <w:lang w:val="ru-RU"/>
        </w:rPr>
        <w:t xml:space="preserve"> в качестве выходного описания сгенерированной программы ПЛК, обеспечивающий совместимость с интегрированными средами разработки от различных производителей контроллеров;</w:t>
      </w:r>
    </w:p>
    <w:p w14:paraId="456D98C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— сист</w:t>
      </w:r>
      <w:r w:rsidRPr="000F2099">
        <w:rPr>
          <w:lang w:val="ru-RU"/>
        </w:rPr>
        <w:t xml:space="preserve">ема контроля версий </w:t>
      </w:r>
      <w:r>
        <w:t>Git</w:t>
      </w:r>
      <w:r w:rsidRPr="000F2099">
        <w:rPr>
          <w:lang w:val="ru-RU"/>
        </w:rPr>
        <w:t xml:space="preserve"> для </w:t>
      </w:r>
      <w:proofErr w:type="spellStart"/>
      <w:r w:rsidRPr="000F2099">
        <w:rPr>
          <w:lang w:val="ru-RU"/>
        </w:rPr>
        <w:t>версионирования</w:t>
      </w:r>
      <w:proofErr w:type="spellEnd"/>
      <w:r w:rsidRPr="000F2099">
        <w:rPr>
          <w:lang w:val="ru-RU"/>
        </w:rPr>
        <w:t xml:space="preserve"> исходного кода прототипа, библиотеки типовых паттернов и тестовой выборки схем.</w:t>
      </w:r>
    </w:p>
    <w:p w14:paraId="188B99C3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На этапе передачи данных прототип реализуется как </w:t>
      </w:r>
      <w:proofErr w:type="spellStart"/>
      <w:r w:rsidRPr="000F2099">
        <w:rPr>
          <w:lang w:val="ru-RU"/>
        </w:rPr>
        <w:t>микросервис</w:t>
      </w:r>
      <w:proofErr w:type="spellEnd"/>
      <w:r w:rsidRPr="000F2099">
        <w:rPr>
          <w:lang w:val="ru-RU"/>
        </w:rPr>
        <w:t xml:space="preserve"> с </w:t>
      </w:r>
      <w:r>
        <w:t>REST</w:t>
      </w:r>
      <w:r w:rsidRPr="000F2099">
        <w:rPr>
          <w:lang w:val="ru-RU"/>
        </w:rPr>
        <w:t xml:space="preserve"> </w:t>
      </w:r>
      <w:r>
        <w:t>API</w:t>
      </w:r>
      <w:r w:rsidRPr="000F2099">
        <w:rPr>
          <w:lang w:val="ru-RU"/>
        </w:rPr>
        <w:t xml:space="preserve">: входной </w:t>
      </w:r>
      <w:proofErr w:type="spellStart"/>
      <w:r w:rsidRPr="000F2099">
        <w:rPr>
          <w:lang w:val="ru-RU"/>
        </w:rPr>
        <w:t>эндпоинт</w:t>
      </w:r>
      <w:proofErr w:type="spellEnd"/>
      <w:r w:rsidRPr="000F2099">
        <w:rPr>
          <w:lang w:val="ru-RU"/>
        </w:rPr>
        <w:t xml:space="preserve"> принимает </w:t>
      </w:r>
      <w:r>
        <w:t>JSON</w:t>
      </w:r>
      <w:r w:rsidRPr="000F2099">
        <w:rPr>
          <w:lang w:val="ru-RU"/>
        </w:rPr>
        <w:t>-описание графа схемы, выхо</w:t>
      </w:r>
      <w:r w:rsidRPr="000F2099">
        <w:rPr>
          <w:lang w:val="ru-RU"/>
        </w:rPr>
        <w:t xml:space="preserve">дной </w:t>
      </w:r>
      <w:proofErr w:type="spellStart"/>
      <w:r w:rsidRPr="000F2099">
        <w:rPr>
          <w:lang w:val="ru-RU"/>
        </w:rPr>
        <w:t>эндпоинт</w:t>
      </w:r>
      <w:proofErr w:type="spellEnd"/>
      <w:r w:rsidRPr="000F2099">
        <w:rPr>
          <w:lang w:val="ru-RU"/>
        </w:rPr>
        <w:t xml:space="preserve"> возвращает текстовый файл на языке структурированного текста (</w:t>
      </w:r>
      <w:r>
        <w:t>ST</w:t>
      </w:r>
      <w:r w:rsidRPr="000F2099">
        <w:rPr>
          <w:lang w:val="ru-RU"/>
        </w:rPr>
        <w:t xml:space="preserve">) стандарта </w:t>
      </w:r>
      <w:r>
        <w:t>IEC</w:t>
      </w:r>
      <w:r w:rsidRPr="000F2099">
        <w:rPr>
          <w:lang w:val="ru-RU"/>
        </w:rPr>
        <w:t xml:space="preserve"> 61131-3 либо файл </w:t>
      </w:r>
      <w:proofErr w:type="spellStart"/>
      <w:r>
        <w:t>PLCOpen</w:t>
      </w:r>
      <w:proofErr w:type="spellEnd"/>
      <w:r w:rsidRPr="000F2099">
        <w:rPr>
          <w:lang w:val="ru-RU"/>
        </w:rPr>
        <w:t xml:space="preserve"> </w:t>
      </w:r>
      <w:r>
        <w:t>XML</w:t>
      </w:r>
      <w:r w:rsidRPr="000F2099">
        <w:rPr>
          <w:lang w:val="ru-RU"/>
        </w:rPr>
        <w:t xml:space="preserve"> для импорта в </w:t>
      </w:r>
      <w:r>
        <w:t>IDE</w:t>
      </w:r>
      <w:r w:rsidRPr="000F2099">
        <w:rPr>
          <w:lang w:val="ru-RU"/>
        </w:rPr>
        <w:t xml:space="preserve"> контроллера. Такая архитектура обеспечивает возможность интеграции метода в существующие проектные процессы предпр</w:t>
      </w:r>
      <w:r w:rsidRPr="000F2099">
        <w:rPr>
          <w:lang w:val="ru-RU"/>
        </w:rPr>
        <w:t xml:space="preserve">иятий без модификации применяемых </w:t>
      </w:r>
      <w:r>
        <w:t>ECAD</w:t>
      </w:r>
      <w:r w:rsidRPr="000F2099">
        <w:rPr>
          <w:lang w:val="ru-RU"/>
        </w:rPr>
        <w:t xml:space="preserve">- и </w:t>
      </w:r>
      <w:r>
        <w:t>PLC</w:t>
      </w:r>
      <w:r w:rsidRPr="000F2099">
        <w:rPr>
          <w:lang w:val="ru-RU"/>
        </w:rPr>
        <w:t>-инструментов.</w:t>
      </w:r>
    </w:p>
    <w:p w14:paraId="3E96848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На этапе экспериментальной апробации применяются методы математической статистики для количественной оценки эффективности предложенного метода (см. раздел 3).</w:t>
      </w:r>
    </w:p>
    <w:p w14:paraId="2F676C8A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2DBBABC5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2. МЕТОДЫ РАЗРАБОТКИ МАТЕМАТИЧЕСКИХ</w:t>
      </w:r>
      <w:r w:rsidRPr="000F2099">
        <w:rPr>
          <w:b/>
          <w:lang w:val="ru-RU"/>
        </w:rPr>
        <w:t xml:space="preserve"> МОДЕЛЕЙ ИССЛЕДУЕМОГО ОБЪЕКТА И ПРОЦЕССА</w:t>
      </w:r>
    </w:p>
    <w:p w14:paraId="13B982E7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2.1 Понятие модели и моделирования. Классификация моделей</w:t>
      </w:r>
    </w:p>
    <w:p w14:paraId="4EDFA5B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Согласно определению, приведённому в учебном пособии М.С. </w:t>
      </w:r>
      <w:proofErr w:type="spellStart"/>
      <w:r w:rsidRPr="000F2099">
        <w:rPr>
          <w:lang w:val="ru-RU"/>
        </w:rPr>
        <w:t>Кубланова</w:t>
      </w:r>
      <w:proofErr w:type="spellEnd"/>
      <w:r w:rsidRPr="000F2099">
        <w:rPr>
          <w:lang w:val="ru-RU"/>
        </w:rPr>
        <w:t xml:space="preserve"> [2, §1.1], модель — это заместитель оригинала, позволяющий изучить некоторые его </w:t>
      </w:r>
      <w:r w:rsidRPr="000F2099">
        <w:rPr>
          <w:lang w:val="ru-RU"/>
        </w:rPr>
        <w:t>свойства в определённых условиях. Моделирование — это процесс выбора или построения модели для исследования определённых свойств оригинала в определённых условиях. Принципиально важным является то, что модель никогда не воспроизводит все свойства оригинала</w:t>
      </w:r>
      <w:r w:rsidRPr="000F2099">
        <w:rPr>
          <w:lang w:val="ru-RU"/>
        </w:rPr>
        <w:t>: достаточно сходства лишь в тех свойствах, которые являются объектом данного исследования.</w:t>
      </w:r>
    </w:p>
    <w:p w14:paraId="74E465F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Классификация моделей проводится по двум независимым основаниям [2, §1.2].</w:t>
      </w:r>
    </w:p>
    <w:p w14:paraId="7928BFC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По характерным особенностям выражения свойств оригинала модели подразделяются на:</w:t>
      </w:r>
    </w:p>
    <w:p w14:paraId="2B52D3BF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логич</w:t>
      </w:r>
      <w:r w:rsidRPr="000F2099">
        <w:rPr>
          <w:lang w:val="ru-RU"/>
        </w:rPr>
        <w:t>еские — построенные на принципах человеческой логики (образные, символьные, образно-символьные);</w:t>
      </w:r>
    </w:p>
    <w:p w14:paraId="239209C0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материальные — построенные по объективным законам (функциональные, геометрические, функционально-геометрические).</w:t>
      </w:r>
    </w:p>
    <w:p w14:paraId="348CC98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По основаниям для преобразования свойств мо</w:t>
      </w:r>
      <w:r w:rsidRPr="000F2099">
        <w:rPr>
          <w:lang w:val="ru-RU"/>
        </w:rPr>
        <w:t>дели в свойства оригинала модели подразделяются на:</w:t>
      </w:r>
    </w:p>
    <w:p w14:paraId="181C953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условные — на основе соглашения (система единиц измерения, система технической документации);</w:t>
      </w:r>
    </w:p>
    <w:p w14:paraId="1B952FE8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аналогичные — на основе логического вывода о сходстве;</w:t>
      </w:r>
    </w:p>
    <w:p w14:paraId="455B915A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математические — на основе математического описан</w:t>
      </w:r>
      <w:r w:rsidRPr="000F2099">
        <w:rPr>
          <w:lang w:val="ru-RU"/>
        </w:rPr>
        <w:t>ия.</w:t>
      </w:r>
    </w:p>
    <w:p w14:paraId="64E3FAC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Математические модели [2, §2.1] основываются на математическом описании объекта, которое включает: набор данных (характеристики, начальные </w:t>
      </w:r>
      <w:r w:rsidRPr="000F2099">
        <w:rPr>
          <w:lang w:val="ru-RU"/>
        </w:rPr>
        <w:lastRenderedPageBreak/>
        <w:t>и граничные условия, ограничения), функциональные зависимости и методы вычисления выходных параметров модели. Доп</w:t>
      </w:r>
      <w:r w:rsidRPr="000F2099">
        <w:rPr>
          <w:lang w:val="ru-RU"/>
        </w:rPr>
        <w:t>олнительно в саму модель входят описания всех допущений, использованных при её построении, и алгоритмы перевода исходных и выходных данных с модели на оригинал и обратно.</w:t>
      </w:r>
    </w:p>
    <w:p w14:paraId="19181F93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Дополнительная классификация математических моделей: расчётные; соответственные и под</w:t>
      </w:r>
      <w:r w:rsidRPr="000F2099">
        <w:rPr>
          <w:lang w:val="ru-RU"/>
        </w:rPr>
        <w:t>обные; линейные или нелинейные; стационарные или нестационарные; непрерывные или дискретные; детерминированные или стохастические; чёткие или нечёткие [2, §2.1].</w:t>
      </w:r>
    </w:p>
    <w:p w14:paraId="4D80133B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2.2 Алгоритм научных исследований с помощью математического моделирования</w:t>
      </w:r>
    </w:p>
    <w:p w14:paraId="456EAD8D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М.С. </w:t>
      </w:r>
      <w:proofErr w:type="spellStart"/>
      <w:r w:rsidRPr="000F2099">
        <w:rPr>
          <w:lang w:val="ru-RU"/>
        </w:rPr>
        <w:t>Кубланов</w:t>
      </w:r>
      <w:proofErr w:type="spellEnd"/>
      <w:r w:rsidRPr="000F2099">
        <w:rPr>
          <w:lang w:val="ru-RU"/>
        </w:rPr>
        <w:t xml:space="preserve"> формул</w:t>
      </w:r>
      <w:r w:rsidRPr="000F2099">
        <w:rPr>
          <w:lang w:val="ru-RU"/>
        </w:rPr>
        <w:t>ирует следующий алгоритм научного исследования с использованием математического моделирования, выработанный практикой [2, §2.4]:</w:t>
      </w:r>
    </w:p>
    <w:p w14:paraId="4204E260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1. Изучение оригинала — выявление основных факторов, особенностей, диапазонов исследуемых параметров, условий и задач исследова</w:t>
      </w:r>
      <w:r w:rsidRPr="000F2099">
        <w:rPr>
          <w:lang w:val="ru-RU"/>
        </w:rPr>
        <w:t>ния, постановка задачи, оценка требуемой точности.</w:t>
      </w:r>
    </w:p>
    <w:p w14:paraId="506D42C8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2. Феноменологическое описание оригинала — поиск аналогий и функциональных зависимостей на основе предыдущего этапа.</w:t>
      </w:r>
    </w:p>
    <w:p w14:paraId="0AA7DE8E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3. Математическое описание оригинала — формулирование уравнений, ограничений, начальных </w:t>
      </w:r>
      <w:r w:rsidRPr="000F2099">
        <w:rPr>
          <w:lang w:val="ru-RU"/>
        </w:rPr>
        <w:t>и граничных условий.</w:t>
      </w:r>
    </w:p>
    <w:p w14:paraId="6511B6A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4. Разработка алгоритмического и программного обеспечения — реализация математического описания средствами вычислительной техники.</w:t>
      </w:r>
    </w:p>
    <w:p w14:paraId="73988F3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5. Контрольный вычислительный эксперимент — воспроизведение известного реального случая </w:t>
      </w:r>
      <w:r w:rsidRPr="000F2099">
        <w:rPr>
          <w:lang w:val="ru-RU"/>
        </w:rPr>
        <w:t>поведения оригинала.</w:t>
      </w:r>
    </w:p>
    <w:p w14:paraId="3EBBF2F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6. Оценка адекватности результатов контрольного вычислительного эксперимента; при необходимости — повторение алгоритма с пунктов 3, 2 или 1.</w:t>
      </w:r>
    </w:p>
    <w:p w14:paraId="4B641B6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7. Планирование вычислительного эксперимента в целях исследования.</w:t>
      </w:r>
    </w:p>
    <w:p w14:paraId="5A7B66E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8. Проведение вычислительно</w:t>
      </w:r>
      <w:r w:rsidRPr="000F2099">
        <w:rPr>
          <w:lang w:val="ru-RU"/>
        </w:rPr>
        <w:t>го эксперимента и обработка его результатов.</w:t>
      </w:r>
    </w:p>
    <w:p w14:paraId="4B277FC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9. Анализ результатов; при необходимости — повторение алгоритма с пунктов 7 или 1.</w:t>
      </w:r>
    </w:p>
    <w:p w14:paraId="455D3F7F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10. Формулировка выводов исследования.</w:t>
      </w:r>
    </w:p>
    <w:p w14:paraId="2559B4F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Пункты 1–6 составляют процесс собственно моделирования, в составе которого выделяется про</w:t>
      </w:r>
      <w:r w:rsidRPr="000F2099">
        <w:rPr>
          <w:lang w:val="ru-RU"/>
        </w:rPr>
        <w:t>цесс идентификации — определения недостающих или неточно известных параметров и функциональных соотношений модели по результатам сопоставления с данными о реальном поведении объекта [2, §2.3].</w:t>
      </w:r>
    </w:p>
    <w:p w14:paraId="7D7F582A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2.3 Методы разработки математических моделей</w:t>
      </w:r>
    </w:p>
    <w:p w14:paraId="1966429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пособии [2, §3.1</w:t>
      </w:r>
      <w:r w:rsidRPr="000F2099">
        <w:rPr>
          <w:lang w:val="ru-RU"/>
        </w:rPr>
        <w:t>] выделяются следующие основные методы разработки математических моделей.</w:t>
      </w:r>
    </w:p>
    <w:p w14:paraId="0314592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Ранжирование — </w:t>
      </w:r>
      <w:proofErr w:type="spellStart"/>
      <w:r w:rsidRPr="000F2099">
        <w:rPr>
          <w:lang w:val="ru-RU"/>
        </w:rPr>
        <w:t>неформализуемый</w:t>
      </w:r>
      <w:proofErr w:type="spellEnd"/>
      <w:r w:rsidRPr="000F2099">
        <w:rPr>
          <w:lang w:val="ru-RU"/>
        </w:rPr>
        <w:t xml:space="preserve"> анализ, позволяющий распределить параметры по важности (рангу); наиболее важные параметры включаются в модель, менее важные могут быть учтены в </w:t>
      </w:r>
      <w:r w:rsidRPr="000F2099">
        <w:rPr>
          <w:lang w:val="ru-RU"/>
        </w:rPr>
        <w:t>виде поправок или отброшены.</w:t>
      </w:r>
    </w:p>
    <w:p w14:paraId="3EAD8BB5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Агрегирование (декомпозиция) — разбиение большого числа факторов задачи на небольшое число групп (агрегатов) по определённому принципу; предполагает наличие формализуемых связей между блоками и возможность независимого решения </w:t>
      </w:r>
      <w:r w:rsidRPr="000F2099">
        <w:rPr>
          <w:lang w:val="ru-RU"/>
        </w:rPr>
        <w:t>задач внутри каждого блока.</w:t>
      </w:r>
    </w:p>
    <w:p w14:paraId="22D5645E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Теория подобия и анализ размерностей [2, §3.2]. Основной результат — </w:t>
      </w:r>
      <w:r>
        <w:t>Π</w:t>
      </w:r>
      <w:r w:rsidRPr="000F2099">
        <w:rPr>
          <w:lang w:val="ru-RU"/>
        </w:rPr>
        <w:t xml:space="preserve">-теорема: независимая от выбора системы единиц измерения связь между </w:t>
      </w:r>
      <w:r>
        <w:t>n</w:t>
      </w:r>
      <w:r w:rsidRPr="000F2099">
        <w:rPr>
          <w:lang w:val="ru-RU"/>
        </w:rPr>
        <w:t xml:space="preserve"> + 1 размерными величинами принимает вид соотношения между </w:t>
      </w:r>
      <w:r>
        <w:t>n</w:t>
      </w:r>
      <w:r w:rsidRPr="000F2099">
        <w:rPr>
          <w:lang w:val="ru-RU"/>
        </w:rPr>
        <w:t xml:space="preserve"> + 1 − </w:t>
      </w:r>
      <w:r>
        <w:t>k</w:t>
      </w:r>
      <w:r w:rsidRPr="000F2099">
        <w:rPr>
          <w:lang w:val="ru-RU"/>
        </w:rPr>
        <w:t xml:space="preserve"> </w:t>
      </w:r>
      <w:r w:rsidRPr="000F2099">
        <w:rPr>
          <w:lang w:val="ru-RU"/>
        </w:rPr>
        <w:lastRenderedPageBreak/>
        <w:t>безразмерными степе</w:t>
      </w:r>
      <w:r w:rsidRPr="000F2099">
        <w:rPr>
          <w:lang w:val="ru-RU"/>
        </w:rPr>
        <w:t xml:space="preserve">нными комплексами (критериями подобия), где </w:t>
      </w:r>
      <w:r>
        <w:t>k</w:t>
      </w:r>
      <w:r w:rsidRPr="000F2099">
        <w:rPr>
          <w:lang w:val="ru-RU"/>
        </w:rPr>
        <w:t xml:space="preserve"> — число величин с независимыми размерностями.</w:t>
      </w:r>
    </w:p>
    <w:p w14:paraId="6F782AC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Теория графов [2, §3.3] — математический аппарат описания систем с дискретной структурой связей. Граф </w:t>
      </w:r>
      <w:r>
        <w:t>G</w:t>
      </w:r>
      <w:r w:rsidRPr="000F2099">
        <w:rPr>
          <w:lang w:val="ru-RU"/>
        </w:rPr>
        <w:t xml:space="preserve"> = (</w:t>
      </w:r>
      <w:r>
        <w:t>V</w:t>
      </w:r>
      <w:r w:rsidRPr="000F2099">
        <w:rPr>
          <w:lang w:val="ru-RU"/>
        </w:rPr>
        <w:t xml:space="preserve">, </w:t>
      </w:r>
      <w:r>
        <w:t>E</w:t>
      </w:r>
      <w:r w:rsidRPr="000F2099">
        <w:rPr>
          <w:lang w:val="ru-RU"/>
        </w:rPr>
        <w:t xml:space="preserve">) задаётся множеством вершин </w:t>
      </w:r>
      <w:r>
        <w:t>V</w:t>
      </w:r>
      <w:r w:rsidRPr="000F2099">
        <w:rPr>
          <w:lang w:val="ru-RU"/>
        </w:rPr>
        <w:t xml:space="preserve"> и множеством рёбер (ил</w:t>
      </w:r>
      <w:r w:rsidRPr="000F2099">
        <w:rPr>
          <w:lang w:val="ru-RU"/>
        </w:rPr>
        <w:t xml:space="preserve">и дуг — в случае ориентированного графа) </w:t>
      </w:r>
      <w:r>
        <w:t>E</w:t>
      </w:r>
      <w:r w:rsidRPr="000F2099">
        <w:rPr>
          <w:lang w:val="ru-RU"/>
        </w:rPr>
        <w:t>. Ключевые понятия: смежные вершины, путь, цикл, степень вершины, связный граф, помеченный граф. Классические задачи теории графов: задача о кратчайшем пути; задача о коммивояжёре; задача оптимального назначения; з</w:t>
      </w:r>
      <w:r w:rsidRPr="000F2099">
        <w:rPr>
          <w:lang w:val="ru-RU"/>
        </w:rPr>
        <w:t>адача о раскраске графа; задача обхода (эйлеров цикл).</w:t>
      </w:r>
    </w:p>
    <w:p w14:paraId="700F3E0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Теория массового обслуживания [2, §3.4] — раздел теории вероятностей, изучающий системы, обрабатывающие случайные потоки заявок по одному или нескольким каналам. Применяется при наличии стохастических </w:t>
      </w:r>
      <w:r w:rsidRPr="000F2099">
        <w:rPr>
          <w:lang w:val="ru-RU"/>
        </w:rPr>
        <w:t>элементов в исследуемом процессе.</w:t>
      </w:r>
    </w:p>
    <w:p w14:paraId="13CBBC69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Метод Монте-Карло [2, §3.5] — метод статистических испытаний, основанный на розыгрыше случайных событий с использованием датчиков случайных чисел. Применяется в имитационных моделях сложных систем при отсутствии аналитичес</w:t>
      </w:r>
      <w:r w:rsidRPr="000F2099">
        <w:rPr>
          <w:lang w:val="ru-RU"/>
        </w:rPr>
        <w:t>кого вида математического описания отдельных элементов.</w:t>
      </w:r>
    </w:p>
    <w:p w14:paraId="0A07B33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Вычислительные методы [2, гл. 4] обеспечивают численное решение задач, не имеющих аналитического представления. Основные группы: методы решения систем линейных алгебраических уравнений; методы решения</w:t>
      </w:r>
      <w:r w:rsidRPr="000F2099">
        <w:rPr>
          <w:lang w:val="ru-RU"/>
        </w:rPr>
        <w:t xml:space="preserve"> нелинейных алгебраических уравнений (метод деления отрезка пополам, метод секущих, метод Ньютона, метод золотого сечения); методы интерполяции и аппроксимации функций; методы численного интегрирования дифференциальных уравнений; методы оптимизации (линейн</w:t>
      </w:r>
      <w:r w:rsidRPr="000F2099">
        <w:rPr>
          <w:lang w:val="ru-RU"/>
        </w:rPr>
        <w:t>ое и нелинейное программирование, вариационное исчисление, принцип максимума Понтрягина, динамическое программирование Беллмана).</w:t>
      </w:r>
    </w:p>
    <w:p w14:paraId="6473A2EB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lastRenderedPageBreak/>
        <w:t>2.4 Приёмы упрощения моделей</w:t>
      </w:r>
    </w:p>
    <w:p w14:paraId="433DEBF6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пособии [2, §4.3] выделяются следующие основные приёмы упрощения математических моделей.</w:t>
      </w:r>
    </w:p>
    <w:p w14:paraId="399206F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Упроще</w:t>
      </w:r>
      <w:r w:rsidRPr="000F2099">
        <w:rPr>
          <w:lang w:val="ru-RU"/>
        </w:rPr>
        <w:t>ния, основанные на особенностях движений: использование свойства установившегося движения для исключения зависимости от времени; переход к плоскопараллельному движению; использование осевой симметрии; переход к одномерному движению; использование автомодел</w:t>
      </w:r>
      <w:r w:rsidRPr="000F2099">
        <w:rPr>
          <w:lang w:val="ru-RU"/>
        </w:rPr>
        <w:t>ьного движения.</w:t>
      </w:r>
    </w:p>
    <w:p w14:paraId="32233B2E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Упрощения уравнений: переход к безразмерным величинам; приближённая замена переменных постоянными значениями; пренебрежение малыми членами.</w:t>
      </w:r>
    </w:p>
    <w:p w14:paraId="0CA225B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Линеаризация — приближённая замена нелинейных соотношений линейными. Применима при малых диапазонах </w:t>
      </w:r>
      <w:r w:rsidRPr="000F2099">
        <w:rPr>
          <w:lang w:val="ru-RU"/>
        </w:rPr>
        <w:t>изменения параметров. Линейные модели обладают свойством суперпозиции и допускают применение хорошо разработанных аналитических методов.</w:t>
      </w:r>
    </w:p>
    <w:p w14:paraId="438C7979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Метод малого параметра (метод возмущений) — построение решения в виде ряда Тейлора по выделенному малому параметру зада</w:t>
      </w:r>
      <w:r w:rsidRPr="000F2099">
        <w:rPr>
          <w:lang w:val="ru-RU"/>
        </w:rPr>
        <w:t>чи.</w:t>
      </w:r>
    </w:p>
    <w:p w14:paraId="7F1CFB0F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2.5 Применение рассмотренных методов в магистерской диссертации</w:t>
      </w:r>
    </w:p>
    <w:p w14:paraId="15D8621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Тип модели. В магистерской диссертации разрабатывается математическая, символьная, детерминированная, дискретная модель электрической схемы автоматизации в форме типизированного ориентиров</w:t>
      </w:r>
      <w:r w:rsidRPr="000F2099">
        <w:rPr>
          <w:lang w:val="ru-RU"/>
        </w:rPr>
        <w:t xml:space="preserve">анного графа </w:t>
      </w:r>
      <w:r>
        <w:t>G</w:t>
      </w:r>
      <w:r w:rsidRPr="000F2099">
        <w:rPr>
          <w:lang w:val="ru-RU"/>
        </w:rPr>
        <w:t xml:space="preserve"> = (</w:t>
      </w:r>
      <w:r>
        <w:t>V</w:t>
      </w:r>
      <w:r w:rsidRPr="000F2099">
        <w:rPr>
          <w:lang w:val="ru-RU"/>
        </w:rPr>
        <w:t xml:space="preserve">, </w:t>
      </w:r>
      <w:r>
        <w:t>E</w:t>
      </w:r>
      <w:r w:rsidRPr="000F2099">
        <w:rPr>
          <w:lang w:val="ru-RU"/>
        </w:rPr>
        <w:t>).</w:t>
      </w:r>
    </w:p>
    <w:p w14:paraId="2936E425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Основной математический аппарат:</w:t>
      </w:r>
    </w:p>
    <w:p w14:paraId="39DB1B3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теория графов (в соответствии с разделом 3.3 пособия [2]) — для формализации топологии схемы и построения алгоритма обхода с распознаванием типовых паттернов оборудования;</w:t>
      </w:r>
    </w:p>
    <w:p w14:paraId="25B0A4B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теория формальных язык</w:t>
      </w:r>
      <w:r w:rsidRPr="000F2099">
        <w:rPr>
          <w:lang w:val="ru-RU"/>
        </w:rPr>
        <w:t>ов и теория трансляции — для построения промежуточного представления (</w:t>
      </w:r>
      <w:r>
        <w:t>Intermediate</w:t>
      </w:r>
      <w:r w:rsidRPr="000F2099">
        <w:rPr>
          <w:lang w:val="ru-RU"/>
        </w:rPr>
        <w:t xml:space="preserve"> </w:t>
      </w:r>
      <w:r>
        <w:t>Representation</w:t>
      </w:r>
      <w:r w:rsidRPr="000F2099">
        <w:rPr>
          <w:lang w:val="ru-RU"/>
        </w:rPr>
        <w:t xml:space="preserve">, </w:t>
      </w:r>
      <w:r>
        <w:t>IR</w:t>
      </w:r>
      <w:r w:rsidRPr="000F2099">
        <w:rPr>
          <w:lang w:val="ru-RU"/>
        </w:rPr>
        <w:t xml:space="preserve">) и </w:t>
      </w:r>
      <w:r w:rsidRPr="000F2099">
        <w:rPr>
          <w:lang w:val="ru-RU"/>
        </w:rPr>
        <w:lastRenderedPageBreak/>
        <w:t>абстрактного синтаксического дерева (</w:t>
      </w:r>
      <w:r>
        <w:t>AST</w:t>
      </w:r>
      <w:r w:rsidRPr="000F2099">
        <w:rPr>
          <w:lang w:val="ru-RU"/>
        </w:rPr>
        <w:t xml:space="preserve">) программы стандарта </w:t>
      </w:r>
      <w:r>
        <w:t>IEC</w:t>
      </w:r>
      <w:r w:rsidRPr="000F2099">
        <w:rPr>
          <w:lang w:val="ru-RU"/>
        </w:rPr>
        <w:t xml:space="preserve"> 61131-3 как целевой формы трансформации.</w:t>
      </w:r>
    </w:p>
    <w:p w14:paraId="04AAD04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Применяемые методы разработки модели:</w:t>
      </w:r>
    </w:p>
    <w:p w14:paraId="2803F8B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деко</w:t>
      </w:r>
      <w:r w:rsidRPr="000F2099">
        <w:rPr>
          <w:lang w:val="ru-RU"/>
        </w:rPr>
        <w:t xml:space="preserve">мпозиция (агрегирование) — разделение задачи на этапы: </w:t>
      </w:r>
      <w:proofErr w:type="spellStart"/>
      <w:r w:rsidRPr="000F2099">
        <w:rPr>
          <w:lang w:val="ru-RU"/>
        </w:rPr>
        <w:t>парсинг</w:t>
      </w:r>
      <w:proofErr w:type="spellEnd"/>
      <w:r w:rsidRPr="000F2099">
        <w:rPr>
          <w:lang w:val="ru-RU"/>
        </w:rPr>
        <w:t xml:space="preserve"> входного описания → построение </w:t>
      </w:r>
      <w:proofErr w:type="spellStart"/>
      <w:r w:rsidRPr="000F2099">
        <w:rPr>
          <w:lang w:val="ru-RU"/>
        </w:rPr>
        <w:t>графовой</w:t>
      </w:r>
      <w:proofErr w:type="spellEnd"/>
      <w:r w:rsidRPr="000F2099">
        <w:rPr>
          <w:lang w:val="ru-RU"/>
        </w:rPr>
        <w:t xml:space="preserve"> модели → распознавание паттернов → трансформация в </w:t>
      </w:r>
      <w:r>
        <w:t>IR</w:t>
      </w:r>
      <w:r w:rsidRPr="000F2099">
        <w:rPr>
          <w:lang w:val="ru-RU"/>
        </w:rPr>
        <w:t xml:space="preserve"> → генерация исходного кода </w:t>
      </w:r>
      <w:r>
        <w:t>ST</w:t>
      </w:r>
      <w:r w:rsidRPr="000F2099">
        <w:rPr>
          <w:lang w:val="ru-RU"/>
        </w:rPr>
        <w:t>;</w:t>
      </w:r>
    </w:p>
    <w:p w14:paraId="3B68AF8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ранжирование — выделение существенных типов компонентов АСУ ТП, фо</w:t>
      </w:r>
      <w:r w:rsidRPr="000F2099">
        <w:rPr>
          <w:lang w:val="ru-RU"/>
        </w:rPr>
        <w:t>рмирующих библиотеку типовых паттернов (датчик аналогового сигнала, цепочка «дискретный выход → реле → контактор → двигатель», контур регулирования с обратной связью);</w:t>
      </w:r>
    </w:p>
    <w:p w14:paraId="3A220F2E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абстрагирование — отказ от учёта физических характеристик, не существенных для задачи </w:t>
      </w:r>
      <w:r w:rsidRPr="000F2099">
        <w:rPr>
          <w:lang w:val="ru-RU"/>
        </w:rPr>
        <w:t>синтеза кода (геометрия размещения оборудования, материал проводников, цветовая маркировка).</w:t>
      </w:r>
    </w:p>
    <w:p w14:paraId="47AD225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Не применяемые методы и обоснование:</w:t>
      </w:r>
    </w:p>
    <w:p w14:paraId="580B3A26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теория массового обслуживания и метод Монте-Карло — не применяются, поскольку рассматриваемый процесс синтеза кода является </w:t>
      </w:r>
      <w:r w:rsidRPr="000F2099">
        <w:rPr>
          <w:lang w:val="ru-RU"/>
        </w:rPr>
        <w:t>детерминированным; стохастических элементов в задаче нет;</w:t>
      </w:r>
    </w:p>
    <w:p w14:paraId="41C295C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теория подобия и </w:t>
      </w:r>
      <w:r>
        <w:t>Π</w:t>
      </w:r>
      <w:r w:rsidRPr="000F2099">
        <w:rPr>
          <w:lang w:val="ru-RU"/>
        </w:rPr>
        <w:t>-теорема — не применяется, поскольку модель не содержит размерных физических величин в традиционном понимании; величины задачи являются дискретными типизированными объектами.</w:t>
      </w:r>
    </w:p>
    <w:p w14:paraId="60F8C23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При</w:t>
      </w:r>
      <w:r w:rsidRPr="000F2099">
        <w:rPr>
          <w:lang w:val="ru-RU"/>
        </w:rPr>
        <w:t>менение принципов математического моделирования [2, §2.5]:</w:t>
      </w:r>
    </w:p>
    <w:p w14:paraId="423EB5E8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принцип адекватности — обеспечивается экспериментальной проверкой (см. раздел 3);</w:t>
      </w:r>
    </w:p>
    <w:p w14:paraId="7AD5528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принцип конкретизации условий и области применения — формулируются границы применимости метода через </w:t>
      </w:r>
      <w:r w:rsidRPr="000F2099">
        <w:rPr>
          <w:lang w:val="ru-RU"/>
        </w:rPr>
        <w:t>перечень покрываемых типовых паттернов;</w:t>
      </w:r>
    </w:p>
    <w:p w14:paraId="64CC0FA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принцип опережающей строгости — формальное описание онтологии типов компонентов АСУ ТП должно быть несколько шире, чем это </w:t>
      </w:r>
      <w:r w:rsidRPr="000F2099">
        <w:rPr>
          <w:lang w:val="ru-RU"/>
        </w:rPr>
        <w:lastRenderedPageBreak/>
        <w:t>требует текущая постановка, чтобы обеспечить корректное расширение метода в будущих исследо</w:t>
      </w:r>
      <w:r w:rsidRPr="000F2099">
        <w:rPr>
          <w:lang w:val="ru-RU"/>
        </w:rPr>
        <w:t>ваниях.</w:t>
      </w:r>
    </w:p>
    <w:p w14:paraId="0381A1BC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1F266CE2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3. МЕТОДЫ ОЦЕНКИ РЕЗУЛЬТАТОВ ТЕОРЕТИЧЕСКИХ И ЭКСПЕРИМЕНТАЛЬНЫХ ИССЛЕДОВАНИЙ</w:t>
      </w:r>
    </w:p>
    <w:p w14:paraId="202BEDCC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3.1 Критерии научности результата: верификация и фальсификация</w:t>
      </w:r>
    </w:p>
    <w:p w14:paraId="504E80D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Согласно лекции [1], получаемое в исследовании знание должно соответствовать набору критериев </w:t>
      </w:r>
      <w:r w:rsidRPr="000F2099">
        <w:rPr>
          <w:lang w:val="ru-RU"/>
        </w:rPr>
        <w:t>научности: системности, наличию отработанного механизма получения новых знаний, теоретичности, рациональности и наличию экспериментального метода. Однако для разграничения научного и ненаучного знания центральную роль играют два критерия — верификация и фа</w:t>
      </w:r>
      <w:r w:rsidRPr="000F2099">
        <w:rPr>
          <w:lang w:val="ru-RU"/>
        </w:rPr>
        <w:t>льсификация.</w:t>
      </w:r>
    </w:p>
    <w:p w14:paraId="6EB1170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Верификация (верифицируемость) — процедура установления истинности научных положений в процессе их эмпирической проверки, то есть с помощью наблюдения, измерения или эксперимента. Любая гипотеза до получения статуса научного факта должна пройт</w:t>
      </w:r>
      <w:r w:rsidRPr="000F2099">
        <w:rPr>
          <w:lang w:val="ru-RU"/>
        </w:rPr>
        <w:t>и эмпирическую проверку. Критерий верифицируемости лучше подходит для отделения науки от ненаучных форм знания, так как опирается на установление истинности.</w:t>
      </w:r>
    </w:p>
    <w:p w14:paraId="1ACE96A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Фальсификация (</w:t>
      </w:r>
      <w:proofErr w:type="spellStart"/>
      <w:r w:rsidRPr="000F2099">
        <w:rPr>
          <w:lang w:val="ru-RU"/>
        </w:rPr>
        <w:t>фальсифицируемость</w:t>
      </w:r>
      <w:proofErr w:type="spellEnd"/>
      <w:r w:rsidRPr="000F2099">
        <w:rPr>
          <w:lang w:val="ru-RU"/>
        </w:rPr>
        <w:t>) — критерий демаркации науки, предложенный К. Поппером в 1935 го</w:t>
      </w:r>
      <w:r w:rsidRPr="000F2099">
        <w:rPr>
          <w:lang w:val="ru-RU"/>
        </w:rPr>
        <w:t xml:space="preserve">ду. Согласно этому критерию, гипотеза или теория является научной тогда и только тогда, когда возможна постановка опровергающего её эксперимента (реального или мысленного). Если теория принципиально неопровержима, она не является научной. Принцип </w:t>
      </w:r>
      <w:proofErr w:type="spellStart"/>
      <w:r w:rsidRPr="000F2099">
        <w:rPr>
          <w:lang w:val="ru-RU"/>
        </w:rPr>
        <w:t>фальсифиц</w:t>
      </w:r>
      <w:r w:rsidRPr="000F2099">
        <w:rPr>
          <w:lang w:val="ru-RU"/>
        </w:rPr>
        <w:t>ируемости</w:t>
      </w:r>
      <w:proofErr w:type="spellEnd"/>
      <w:r w:rsidRPr="000F2099">
        <w:rPr>
          <w:lang w:val="ru-RU"/>
        </w:rPr>
        <w:t xml:space="preserve"> противоположен принципу верифицируемости: при верификации исследователь ищет подтверждающие гипотезу примеры, при фальсификации — примеры, опровергающие её.</w:t>
      </w:r>
    </w:p>
    <w:p w14:paraId="02777159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Существенным ограничением критерия Поппера является то, что он определяет лишь принадлежн</w:t>
      </w:r>
      <w:r w:rsidRPr="000F2099">
        <w:rPr>
          <w:lang w:val="ru-RU"/>
        </w:rPr>
        <w:t xml:space="preserve">ость теории к разряду научных, но не её истинность. Поэтому в практике научного исследования оба критерия применяются совместно: </w:t>
      </w:r>
      <w:proofErr w:type="spellStart"/>
      <w:r w:rsidRPr="000F2099">
        <w:rPr>
          <w:lang w:val="ru-RU"/>
        </w:rPr>
        <w:t>фальсифицируемость</w:t>
      </w:r>
      <w:proofErr w:type="spellEnd"/>
      <w:r w:rsidRPr="000F2099">
        <w:rPr>
          <w:lang w:val="ru-RU"/>
        </w:rPr>
        <w:t xml:space="preserve"> используется как критерий </w:t>
      </w:r>
      <w:r w:rsidRPr="000F2099">
        <w:rPr>
          <w:lang w:val="ru-RU"/>
        </w:rPr>
        <w:lastRenderedPageBreak/>
        <w:t>научности постановки задачи, верифицируемость — как критерий истинности полученных</w:t>
      </w:r>
      <w:r w:rsidRPr="000F2099">
        <w:rPr>
          <w:lang w:val="ru-RU"/>
        </w:rPr>
        <w:t xml:space="preserve"> результатов.</w:t>
      </w:r>
    </w:p>
    <w:p w14:paraId="3B441888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3.2 Адекватность математической модели: точность и непротиворечивость</w:t>
      </w:r>
    </w:p>
    <w:p w14:paraId="3E6DF1E6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Согласно [2, §2.2], адекватность математической модели определяется как соответствие результатов вычислительного эксперимента поведению реального объекта. Это соответствие </w:t>
      </w:r>
      <w:r w:rsidRPr="000F2099">
        <w:rPr>
          <w:lang w:val="ru-RU"/>
        </w:rPr>
        <w:t>оценивается с точки зрения конкретных целей исследования, поэтому для одного и того же объекта возможны различные подходы к оценке адекватности различных моделей.</w:t>
      </w:r>
    </w:p>
    <w:p w14:paraId="1AE5E2E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Для механических систем и процессов, характеризующихся измеримыми параметрами, адекватность м</w:t>
      </w:r>
      <w:r w:rsidRPr="000F2099">
        <w:rPr>
          <w:lang w:val="ru-RU"/>
        </w:rPr>
        <w:t>атематической модели сводится к выполнению двух свойств — точности и непротиворечивости.</w:t>
      </w:r>
    </w:p>
    <w:p w14:paraId="003E129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Точность означает, что обобщённая характеристика рассогласования соответствующего параметра модели и оригинала </w:t>
      </w:r>
      <w:proofErr w:type="spellStart"/>
      <w:r>
        <w:t>Δu</w:t>
      </w:r>
      <w:proofErr w:type="spellEnd"/>
      <w:r w:rsidRPr="000F2099">
        <w:rPr>
          <w:lang w:val="ru-RU"/>
        </w:rPr>
        <w:t xml:space="preserve"> = </w:t>
      </w:r>
      <w:r>
        <w:t>u</w:t>
      </w:r>
      <w:r w:rsidRPr="000F2099">
        <w:rPr>
          <w:lang w:val="ru-RU"/>
        </w:rPr>
        <w:t xml:space="preserve">_модели − </w:t>
      </w:r>
      <w:r>
        <w:t>u</w:t>
      </w:r>
      <w:r w:rsidRPr="000F2099">
        <w:rPr>
          <w:lang w:val="ru-RU"/>
        </w:rPr>
        <w:t>_оригинала должна быть не больше заране</w:t>
      </w:r>
      <w:r w:rsidRPr="000F2099">
        <w:rPr>
          <w:lang w:val="ru-RU"/>
        </w:rPr>
        <w:t xml:space="preserve">е заданного значения приемлемой погрешности </w:t>
      </w:r>
      <w:proofErr w:type="spellStart"/>
      <w:r>
        <w:t>Δu</w:t>
      </w:r>
      <w:proofErr w:type="spellEnd"/>
      <w:r w:rsidRPr="000F2099">
        <w:rPr>
          <w:lang w:val="ru-RU"/>
        </w:rPr>
        <w:t>_доп. В качестве обобщённой характеристики могут выступать:</w:t>
      </w:r>
    </w:p>
    <w:p w14:paraId="685C8C9D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наибольшее по модулю значение рассогласования;</w:t>
      </w:r>
    </w:p>
    <w:p w14:paraId="418B47BE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среднее значение рассогласования;</w:t>
      </w:r>
    </w:p>
    <w:p w14:paraId="174C0AAF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доверительный интервал для математического ожидания рассогласов</w:t>
      </w:r>
      <w:r w:rsidRPr="000F2099">
        <w:rPr>
          <w:lang w:val="ru-RU"/>
        </w:rPr>
        <w:t>ания;</w:t>
      </w:r>
    </w:p>
    <w:p w14:paraId="5B429A10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диапазон практически наблюдаемых значений рассогласования;</w:t>
      </w:r>
    </w:p>
    <w:p w14:paraId="251D446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интегральные оценки рассогласования по абсолютной или относительной погрешности.</w:t>
      </w:r>
    </w:p>
    <w:p w14:paraId="6ED5450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Различают абсолютную (</w:t>
      </w:r>
      <w:proofErr w:type="spellStart"/>
      <w:r>
        <w:t>Δu</w:t>
      </w:r>
      <w:proofErr w:type="spellEnd"/>
      <w:r w:rsidRPr="000F2099">
        <w:rPr>
          <w:lang w:val="ru-RU"/>
        </w:rPr>
        <w:t xml:space="preserve"> = </w:t>
      </w:r>
      <w:r>
        <w:t>u</w:t>
      </w:r>
      <w:r w:rsidRPr="000F2099">
        <w:rPr>
          <w:lang w:val="ru-RU"/>
        </w:rPr>
        <w:t xml:space="preserve">_модели − </w:t>
      </w:r>
      <w:r>
        <w:t>u</w:t>
      </w:r>
      <w:r w:rsidRPr="000F2099">
        <w:rPr>
          <w:lang w:val="ru-RU"/>
        </w:rPr>
        <w:t>_оригинала), относительную (</w:t>
      </w:r>
      <w:proofErr w:type="spellStart"/>
      <w:r>
        <w:t>δu</w:t>
      </w:r>
      <w:proofErr w:type="spellEnd"/>
      <w:r w:rsidRPr="000F2099">
        <w:rPr>
          <w:lang w:val="ru-RU"/>
        </w:rPr>
        <w:t xml:space="preserve"> = </w:t>
      </w:r>
      <w:proofErr w:type="spellStart"/>
      <w:r>
        <w:t>Δu</w:t>
      </w:r>
      <w:proofErr w:type="spellEnd"/>
      <w:r w:rsidRPr="000F2099">
        <w:rPr>
          <w:lang w:val="ru-RU"/>
        </w:rPr>
        <w:t xml:space="preserve"> / </w:t>
      </w:r>
      <w:r>
        <w:t>u</w:t>
      </w:r>
      <w:r w:rsidRPr="000F2099">
        <w:rPr>
          <w:lang w:val="ru-RU"/>
        </w:rPr>
        <w:t>_оригинала × 100 %) и относи</w:t>
      </w:r>
      <w:r w:rsidRPr="000F2099">
        <w:rPr>
          <w:lang w:val="ru-RU"/>
        </w:rPr>
        <w:t>тельную приведённую погрешности.</w:t>
      </w:r>
    </w:p>
    <w:p w14:paraId="06C53CA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Непротиворечивость подразумевает идентичный характер изменения соответствующих параметров: идентичный вид основных свойств </w:t>
      </w:r>
      <w:r w:rsidRPr="000F2099">
        <w:rPr>
          <w:lang w:val="ru-RU"/>
        </w:rPr>
        <w:lastRenderedPageBreak/>
        <w:t xml:space="preserve">функциональных зависимостей на отдельных участках — возрастание, убывание, экстремумы, выпуклость и </w:t>
      </w:r>
      <w:r w:rsidRPr="000F2099">
        <w:rPr>
          <w:lang w:val="ru-RU"/>
        </w:rPr>
        <w:t>т.п. Многообразие возможных критериев проверки непротиворечивости требует их выбора в соответствии с целью конкретного исследования.</w:t>
      </w:r>
    </w:p>
    <w:p w14:paraId="57B4FEA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Поскольку сравниваемые параметры в области функционирования объекта принимают множество значений, выводы о соответствии их </w:t>
      </w:r>
      <w:r w:rsidRPr="000F2099">
        <w:rPr>
          <w:lang w:val="ru-RU"/>
        </w:rPr>
        <w:t>поведения делаются на основе статистической обработки этих множеств с помощью статистических критериев.</w:t>
      </w:r>
    </w:p>
    <w:p w14:paraId="55993B28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3.3 Свойства методов вычислений: устойчивость, аппроксимация, сходимость</w:t>
      </w:r>
    </w:p>
    <w:p w14:paraId="727F511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Согласно [2, §4.4], потребительские качества методов численных вычислений сводя</w:t>
      </w:r>
      <w:r w:rsidRPr="000F2099">
        <w:rPr>
          <w:lang w:val="ru-RU"/>
        </w:rPr>
        <w:t>тся к двум позициям — близости получаемого решения к истинному и удобству применения. Эти позиции конкретизируются через ряд свойств.</w:t>
      </w:r>
    </w:p>
    <w:p w14:paraId="1957886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Устойчивость решения — свойство, при котором малое изменение исходных данных не может вызвать больших изменений </w:t>
      </w:r>
      <w:r w:rsidRPr="000F2099">
        <w:rPr>
          <w:lang w:val="ru-RU"/>
        </w:rPr>
        <w:t>решения. Применительно к итерационным и рекуррентным методам устойчивость означает, что погрешность, допущенная на ранних шагах, приводит лишь к ограниченному росту погрешности на последующих шагах.</w:t>
      </w:r>
    </w:p>
    <w:p w14:paraId="4E177F4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Аппроксимация — свойство расчётной схемы, состоящее в стр</w:t>
      </w:r>
      <w:r w:rsidRPr="000F2099">
        <w:rPr>
          <w:lang w:val="ru-RU"/>
        </w:rPr>
        <w:t xml:space="preserve">емлении к нулю невязки (рассогласования между точным решением и расчётной схемой) при определённом процессе дробления. Если невязка ограничена величиной </w:t>
      </w:r>
      <w:r>
        <w:t>C</w:t>
      </w:r>
      <w:r w:rsidRPr="000F2099">
        <w:rPr>
          <w:lang w:val="ru-RU"/>
        </w:rPr>
        <w:t>·</w:t>
      </w:r>
      <w:r>
        <w:t>h</w:t>
      </w:r>
      <w:r w:rsidRPr="000F2099">
        <w:rPr>
          <w:lang w:val="ru-RU"/>
        </w:rPr>
        <w:t>^</w:t>
      </w:r>
      <w:r>
        <w:t>k</w:t>
      </w:r>
      <w:r w:rsidRPr="000F2099">
        <w:rPr>
          <w:lang w:val="ru-RU"/>
        </w:rPr>
        <w:t xml:space="preserve">, где </w:t>
      </w:r>
      <w:r>
        <w:t>C</w:t>
      </w:r>
      <w:r w:rsidRPr="000F2099">
        <w:rPr>
          <w:lang w:val="ru-RU"/>
        </w:rPr>
        <w:t xml:space="preserve"> и </w:t>
      </w:r>
      <w:r>
        <w:t>k</w:t>
      </w:r>
      <w:r w:rsidRPr="000F2099">
        <w:rPr>
          <w:lang w:val="ru-RU"/>
        </w:rPr>
        <w:t xml:space="preserve"> — постоянные, </w:t>
      </w:r>
      <w:r>
        <w:t>h</w:t>
      </w:r>
      <w:r w:rsidRPr="000F2099">
        <w:rPr>
          <w:lang w:val="ru-RU"/>
        </w:rPr>
        <w:t xml:space="preserve"> — шаг схемы, то имеет место аппроксимация </w:t>
      </w:r>
      <w:r>
        <w:t>k</w:t>
      </w:r>
      <w:r w:rsidRPr="000F2099">
        <w:rPr>
          <w:lang w:val="ru-RU"/>
        </w:rPr>
        <w:t>-го порядка.</w:t>
      </w:r>
    </w:p>
    <w:p w14:paraId="767992D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Сходимость — с</w:t>
      </w:r>
      <w:r w:rsidRPr="000F2099">
        <w:rPr>
          <w:lang w:val="ru-RU"/>
        </w:rPr>
        <w:t xml:space="preserve">войство многошагового метода, состоящее в стремлении приближённого решения к точному при неограниченном измельчении шага. Сходимость </w:t>
      </w:r>
      <w:r>
        <w:t>k</w:t>
      </w:r>
      <w:r w:rsidRPr="000F2099">
        <w:rPr>
          <w:lang w:val="ru-RU"/>
        </w:rPr>
        <w:t xml:space="preserve">-го порядка обеспечивается одновременным выполнением </w:t>
      </w:r>
      <w:r w:rsidRPr="000F2099">
        <w:rPr>
          <w:lang w:val="ru-RU"/>
        </w:rPr>
        <w:lastRenderedPageBreak/>
        <w:t xml:space="preserve">аппроксимации </w:t>
      </w:r>
      <w:r>
        <w:t>k</w:t>
      </w:r>
      <w:r w:rsidRPr="000F2099">
        <w:rPr>
          <w:lang w:val="ru-RU"/>
        </w:rPr>
        <w:t>-го порядка и устойчивости. Метод более высокого поряд</w:t>
      </w:r>
      <w:r w:rsidRPr="000F2099">
        <w:rPr>
          <w:lang w:val="ru-RU"/>
        </w:rPr>
        <w:t>ка сходимости при том же шаге даёт более точный результат либо обеспечивает заданную точность при большем шаге, что определяет скорость сходимости — важное потребительское свойство метода.</w:t>
      </w:r>
    </w:p>
    <w:p w14:paraId="31022A3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Состоятельность результатов вычислительного эксперимента трактуется</w:t>
      </w:r>
      <w:r w:rsidRPr="000F2099">
        <w:rPr>
          <w:lang w:val="ru-RU"/>
        </w:rPr>
        <w:t xml:space="preserve"> как обеспечение их безусловного приближения к истине при увеличении объёма информации (трактовка как статистического термина) [2, §2.5].</w:t>
      </w:r>
    </w:p>
    <w:p w14:paraId="3B1AC5DE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3.4 Приёмы контроля математических моделей</w:t>
      </w:r>
    </w:p>
    <w:p w14:paraId="0D25A47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Согласно [2, §4.6], к основным приёмам контроля математических моделей отно</w:t>
      </w:r>
      <w:r w:rsidRPr="000F2099">
        <w:rPr>
          <w:lang w:val="ru-RU"/>
        </w:rPr>
        <w:t>сятся следующие.</w:t>
      </w:r>
    </w:p>
    <w:p w14:paraId="78239317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Контроль размерностей — соблюдение трёх правил: знаки «+», «−», «&lt;», «&gt;», «≤», «≥», «=» могут связывать только величины одной размерности; аргументами трансцендентных функций должны быть безразмерные величины; во всех расчётных формулах пр</w:t>
      </w:r>
      <w:r w:rsidRPr="000F2099">
        <w:rPr>
          <w:lang w:val="ru-RU"/>
        </w:rPr>
        <w:t>именяется одна система единиц измерения.</w:t>
      </w:r>
    </w:p>
    <w:p w14:paraId="07CED11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Контроль основных законов природы — прежде всего законов сохранения. Если в модели используется только дифференциальное уравнение движения, разностная схема для его интегрирования должна быть согласована с законом с</w:t>
      </w:r>
      <w:r w:rsidRPr="000F2099">
        <w:rPr>
          <w:lang w:val="ru-RU"/>
        </w:rPr>
        <w:t>охранения энергии.</w:t>
      </w:r>
    </w:p>
    <w:p w14:paraId="24384363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Контроль качественного поведения зависимостей — проверка во всех случаях, когда о промежуточных результатах можно что-либо сказать априори. Особенно важен при использовании в модели зависимостей, полученных статистической обработкой резу</w:t>
      </w:r>
      <w:r w:rsidRPr="000F2099">
        <w:rPr>
          <w:lang w:val="ru-RU"/>
        </w:rPr>
        <w:t>льтатов измерений.</w:t>
      </w:r>
    </w:p>
    <w:p w14:paraId="1D7DF34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Контроль математической замкнутости задачи — соответствие количества уравнений количеству неизвестных. Обеспечивается при разработке математического описания.</w:t>
      </w:r>
    </w:p>
    <w:p w14:paraId="03E9A044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Проверка на контрольных примерах — проводится для всей модели или её законченн</w:t>
      </w:r>
      <w:r w:rsidRPr="000F2099">
        <w:rPr>
          <w:lang w:val="ru-RU"/>
        </w:rPr>
        <w:t>ых частей. Используются три вида примеров:</w:t>
      </w:r>
    </w:p>
    <w:p w14:paraId="34B60527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— простейшие (тривиальные) случаи;</w:t>
      </w:r>
    </w:p>
    <w:p w14:paraId="45F088B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случаи особого поведения (резонанс и т.п.);</w:t>
      </w:r>
    </w:p>
    <w:p w14:paraId="37B92B9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наиболее общие случаи, исследованные в специальных экспериментах.</w:t>
      </w:r>
    </w:p>
    <w:p w14:paraId="55C95322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отличие от задачи идентификации, проверка на контрольных приме</w:t>
      </w:r>
      <w:r w:rsidRPr="000F2099">
        <w:rPr>
          <w:lang w:val="ru-RU"/>
        </w:rPr>
        <w:t>рах даёт лишь общий вывод о качественной правильности модели.</w:t>
      </w:r>
    </w:p>
    <w:p w14:paraId="27872A0D" w14:textId="77777777" w:rsidR="00856E25" w:rsidRPr="000F2099" w:rsidRDefault="005566DE">
      <w:pPr>
        <w:keepNext/>
        <w:spacing w:before="120" w:after="120"/>
        <w:rPr>
          <w:lang w:val="ru-RU"/>
        </w:rPr>
      </w:pPr>
      <w:r w:rsidRPr="000F2099">
        <w:rPr>
          <w:b/>
          <w:lang w:val="ru-RU"/>
        </w:rPr>
        <w:t>3.5 Количественные метрики и план апробации в магистерской диссертации</w:t>
      </w:r>
    </w:p>
    <w:p w14:paraId="0765016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Критерии научности применительно к диссертации. Сформулированный в диссертации метод автоматизированного синтеза кода удовл</w:t>
      </w:r>
      <w:r w:rsidRPr="000F2099">
        <w:rPr>
          <w:lang w:val="ru-RU"/>
        </w:rPr>
        <w:t xml:space="preserve">етворяет критерию </w:t>
      </w:r>
      <w:proofErr w:type="spellStart"/>
      <w:r w:rsidRPr="000F2099">
        <w:rPr>
          <w:lang w:val="ru-RU"/>
        </w:rPr>
        <w:t>фальсифицируемости</w:t>
      </w:r>
      <w:proofErr w:type="spellEnd"/>
      <w:r w:rsidRPr="000F2099">
        <w:rPr>
          <w:lang w:val="ru-RU"/>
        </w:rPr>
        <w:t>: для любой схемы автоматизации, входящей в область применимости метода, может быть проведён сравнительный эксперимент с ручной разработкой, потенциально опровергающий гипотезу о снижении трудоёмкости или числа ошибок. К</w:t>
      </w:r>
      <w:r w:rsidRPr="000F2099">
        <w:rPr>
          <w:lang w:val="ru-RU"/>
        </w:rPr>
        <w:t>ритерий верифицируемости реализуется через проведение такого эксперимента на репрезентативной выборке схем.</w:t>
      </w:r>
    </w:p>
    <w:p w14:paraId="48F292BF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Оценка теоретических результатов. Для теоретической части диссертации применяются следующие методы оценки:</w:t>
      </w:r>
    </w:p>
    <w:p w14:paraId="1CF47F2F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контроль размерностей и типов — коррект</w:t>
      </w:r>
      <w:r w:rsidRPr="000F2099">
        <w:rPr>
          <w:lang w:val="ru-RU"/>
        </w:rPr>
        <w:t xml:space="preserve">ность типизации портов сигналов: к порту класса </w:t>
      </w:r>
      <w:proofErr w:type="spellStart"/>
      <w:r>
        <w:t>AnalogInput</w:t>
      </w:r>
      <w:proofErr w:type="spellEnd"/>
      <w:r w:rsidRPr="000F2099">
        <w:rPr>
          <w:lang w:val="ru-RU"/>
        </w:rPr>
        <w:t xml:space="preserve"> может быть подключён только датчик с выходом класса </w:t>
      </w:r>
      <w:r>
        <w:t>Analog</w:t>
      </w:r>
      <w:r w:rsidRPr="000F2099">
        <w:rPr>
          <w:lang w:val="ru-RU"/>
        </w:rPr>
        <w:t>;</w:t>
      </w:r>
    </w:p>
    <w:p w14:paraId="6ABFE0B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контроль качественного поведения — корректность распознавания паттернов: для каждого подграфа из библиотеки шаблонов должна порождатьс</w:t>
      </w:r>
      <w:r w:rsidRPr="000F2099">
        <w:rPr>
          <w:lang w:val="ru-RU"/>
        </w:rPr>
        <w:t xml:space="preserve">я единственная синтаксически корректная конструкция языка </w:t>
      </w:r>
      <w:r>
        <w:t>ST</w:t>
      </w:r>
      <w:r w:rsidRPr="000F2099">
        <w:rPr>
          <w:lang w:val="ru-RU"/>
        </w:rPr>
        <w:t>;</w:t>
      </w:r>
    </w:p>
    <w:p w14:paraId="5E1D115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доказательство корректности алгоритма — формальное обоснование того, что алгоритм обхода графа за </w:t>
      </w:r>
      <w:r>
        <w:t>O</w:t>
      </w:r>
      <w:r w:rsidRPr="000F2099">
        <w:rPr>
          <w:lang w:val="ru-RU"/>
        </w:rPr>
        <w:t>(</w:t>
      </w:r>
      <w:r>
        <w:t>V</w:t>
      </w:r>
      <w:r w:rsidRPr="000F2099">
        <w:rPr>
          <w:lang w:val="ru-RU"/>
        </w:rPr>
        <w:t>+</w:t>
      </w:r>
      <w:r>
        <w:t>E</w:t>
      </w:r>
      <w:r w:rsidRPr="000F2099">
        <w:rPr>
          <w:lang w:val="ru-RU"/>
        </w:rPr>
        <w:t>) операций обеспечивает посещение всех вершин и рёбер ровно один раз;</w:t>
      </w:r>
    </w:p>
    <w:p w14:paraId="1C2E30C9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lastRenderedPageBreak/>
        <w:t>— оценка вычислител</w:t>
      </w:r>
      <w:r w:rsidRPr="000F2099">
        <w:rPr>
          <w:lang w:val="ru-RU"/>
        </w:rPr>
        <w:t>ьной сложности — асимптотический анализ времени работы алгоритма как функции размера входного графа;</w:t>
      </w:r>
    </w:p>
    <w:p w14:paraId="33125920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контроль математической замкнутости — соответствие количества генерируемых элементов программы количеству распознанных подграфов входной модели.</w:t>
      </w:r>
    </w:p>
    <w:p w14:paraId="61F1ECC0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Оценка э</w:t>
      </w:r>
      <w:r w:rsidRPr="000F2099">
        <w:rPr>
          <w:lang w:val="ru-RU"/>
        </w:rPr>
        <w:t>кспериментальных результатов: количественные метрики апробации:</w:t>
      </w:r>
    </w:p>
    <w:p w14:paraId="1914709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трудоёмкость разработки кода ПЛК (чел.-час либо число строк, написанных вручную) — измеряется для ручного и автоматизированного подходов;</w:t>
      </w:r>
    </w:p>
    <w:p w14:paraId="402F5D5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доля автоматически синтезированного кода в общем о</w:t>
      </w:r>
      <w:r w:rsidRPr="000F2099">
        <w:rPr>
          <w:lang w:val="ru-RU"/>
        </w:rPr>
        <w:t>бъёме программы (%);</w:t>
      </w:r>
    </w:p>
    <w:p w14:paraId="741BC2D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количество ошибок переноса данных «схема → код» (ошибки адресации, несоответствие типов сигналов, пропущенные переменные) на 1000 строк сгенерированного кода;</w:t>
      </w:r>
    </w:p>
    <w:p w14:paraId="680DB65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покрытие тестовой выборки типовыми паттернами;</w:t>
      </w:r>
    </w:p>
    <w:p w14:paraId="7118654B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время работы </w:t>
      </w:r>
      <w:r w:rsidRPr="000F2099">
        <w:rPr>
          <w:lang w:val="ru-RU"/>
        </w:rPr>
        <w:t>прототипа на тестовой выборке как функция числа компонентов схемы.</w:t>
      </w:r>
    </w:p>
    <w:p w14:paraId="4FF2D19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Методика проведения эксперимента:</w:t>
      </w:r>
    </w:p>
    <w:p w14:paraId="315FD56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1. Формирование репрезентативной выборки тестовых задач — 20–30 типовых схем автоматизации различной сложности: управление асинхронным двигателем, насосная</w:t>
      </w:r>
      <w:r w:rsidRPr="000F2099">
        <w:rPr>
          <w:lang w:val="ru-RU"/>
        </w:rPr>
        <w:t xml:space="preserve"> станция с ротацией двух насосов по наработке, узел регулирования температуры, конвейерная линия с датчиками положения, многоканальный контур ПИД-регулирования.</w:t>
      </w:r>
    </w:p>
    <w:p w14:paraId="448A2C0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2. Формализация каждой схемы в виде </w:t>
      </w:r>
      <w:r>
        <w:t>JSON</w:t>
      </w:r>
      <w:r w:rsidRPr="000F2099">
        <w:rPr>
          <w:lang w:val="ru-RU"/>
        </w:rPr>
        <w:t>-описания графа в едином формате.</w:t>
      </w:r>
    </w:p>
    <w:p w14:paraId="03C6F191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3. Для каждой схемы —</w:t>
      </w:r>
      <w:r w:rsidRPr="000F2099">
        <w:rPr>
          <w:lang w:val="ru-RU"/>
        </w:rPr>
        <w:t xml:space="preserve"> двухсторонняя реализация программы ПЛК: ручная разработка независимым исполнителем (контрольная группа) и </w:t>
      </w:r>
      <w:r w:rsidRPr="000F2099">
        <w:rPr>
          <w:lang w:val="ru-RU"/>
        </w:rPr>
        <w:lastRenderedPageBreak/>
        <w:t>автоматический синтез с последующей минимальной доводкой (экспериментальная группа).</w:t>
      </w:r>
    </w:p>
    <w:p w14:paraId="022DFAEE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4. Измерение метрик трудоёмкости и числа ошибок для обеих групп.</w:t>
      </w:r>
    </w:p>
    <w:p w14:paraId="3900393B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5. Статистическая обработка результатов: проверка нормальности распределения метрик (критерий Шапиро–</w:t>
      </w:r>
      <w:proofErr w:type="spellStart"/>
      <w:r w:rsidRPr="000F2099">
        <w:rPr>
          <w:lang w:val="ru-RU"/>
        </w:rPr>
        <w:t>Уилка</w:t>
      </w:r>
      <w:proofErr w:type="spellEnd"/>
      <w:r w:rsidRPr="000F2099">
        <w:rPr>
          <w:lang w:val="ru-RU"/>
        </w:rPr>
        <w:t xml:space="preserve">), сравнение средних значений (критерий Стьюдента для парных выборок) либо медиан (непараметрический критерий </w:t>
      </w:r>
      <w:proofErr w:type="spellStart"/>
      <w:r w:rsidRPr="000F2099">
        <w:rPr>
          <w:lang w:val="ru-RU"/>
        </w:rPr>
        <w:t>Уилкоксона</w:t>
      </w:r>
      <w:proofErr w:type="spellEnd"/>
      <w:r w:rsidRPr="000F2099">
        <w:rPr>
          <w:lang w:val="ru-RU"/>
        </w:rPr>
        <w:t xml:space="preserve"> при малой выборке либо отсут</w:t>
      </w:r>
      <w:r w:rsidRPr="000F2099">
        <w:rPr>
          <w:lang w:val="ru-RU"/>
        </w:rPr>
        <w:t>ствии нормальности).</w:t>
      </w:r>
    </w:p>
    <w:p w14:paraId="58A04BD3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6. Построение доверительных интервалов для разностей средних метрик на уровне значимости </w:t>
      </w:r>
      <w:r>
        <w:t>α</w:t>
      </w:r>
      <w:r w:rsidRPr="000F2099">
        <w:rPr>
          <w:lang w:val="ru-RU"/>
        </w:rPr>
        <w:t xml:space="preserve"> = 0,05.</w:t>
      </w:r>
    </w:p>
    <w:p w14:paraId="1889C1C2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7. Формулировка границ применимости метода по результатам анализа схем, на которых наблюдалось наибольшее число ошибок автоматического с</w:t>
      </w:r>
      <w:r w:rsidRPr="000F2099">
        <w:rPr>
          <w:lang w:val="ru-RU"/>
        </w:rPr>
        <w:t>интеза.</w:t>
      </w:r>
    </w:p>
    <w:p w14:paraId="77DAFCB9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Применение принципов математического моделирования [2, §2.5]:</w:t>
      </w:r>
    </w:p>
    <w:p w14:paraId="271E4FD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принцип адекватности (принцип 1) — обеспечивается описанным выше сравнительным экспериментом;</w:t>
      </w:r>
    </w:p>
    <w:p w14:paraId="50E92CFD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принцип состоятельности результатов (принцип 3) — обеспечивается увеличением объёма тест</w:t>
      </w:r>
      <w:r w:rsidRPr="000F2099">
        <w:rPr>
          <w:lang w:val="ru-RU"/>
        </w:rPr>
        <w:t>овой выборки до достижения статистической значимости различий;</w:t>
      </w:r>
    </w:p>
    <w:p w14:paraId="1C6FCFDC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принцип конкретизации условий (принцип 6) — границы применимости метода формулируются по итогам эксперимента в виде явного перечня поддерживаемых классов схем;</w:t>
      </w:r>
    </w:p>
    <w:p w14:paraId="0885FE9F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принцип опережающей строгости</w:t>
      </w:r>
      <w:r w:rsidRPr="000F2099">
        <w:rPr>
          <w:lang w:val="ru-RU"/>
        </w:rPr>
        <w:t xml:space="preserve"> (принцип 7) — обоснование возможности расширения метода на смежные классы задач (с использованием иных языков стандарта </w:t>
      </w:r>
      <w:r>
        <w:t>IEC</w:t>
      </w:r>
      <w:r w:rsidRPr="000F2099">
        <w:rPr>
          <w:lang w:val="ru-RU"/>
        </w:rPr>
        <w:t xml:space="preserve"> 61131-3 — </w:t>
      </w:r>
      <w:r>
        <w:t>LD</w:t>
      </w:r>
      <w:r w:rsidRPr="000F2099">
        <w:rPr>
          <w:lang w:val="ru-RU"/>
        </w:rPr>
        <w:t xml:space="preserve">, </w:t>
      </w:r>
      <w:r>
        <w:t>FBD</w:t>
      </w:r>
      <w:r w:rsidRPr="000F2099">
        <w:rPr>
          <w:lang w:val="ru-RU"/>
        </w:rPr>
        <w:t xml:space="preserve">, </w:t>
      </w:r>
      <w:r>
        <w:t>SFC</w:t>
      </w:r>
      <w:r w:rsidRPr="000F2099">
        <w:rPr>
          <w:lang w:val="ru-RU"/>
        </w:rPr>
        <w:t>).</w:t>
      </w:r>
    </w:p>
    <w:p w14:paraId="1785C91F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028155F3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ЗАКЛЮЧЕНИЕ</w:t>
      </w:r>
    </w:p>
    <w:p w14:paraId="36CAFAC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В отчёте систематизированы методы научного исследования, применяемые в выполняемой магистерск</w:t>
      </w:r>
      <w:r w:rsidRPr="000F2099">
        <w:rPr>
          <w:lang w:val="ru-RU"/>
        </w:rPr>
        <w:t xml:space="preserve">ой диссертации по теме «Метод автоматизированного синтеза программного кода промышленных контроллеров на основе </w:t>
      </w:r>
      <w:proofErr w:type="spellStart"/>
      <w:r w:rsidRPr="000F2099">
        <w:rPr>
          <w:lang w:val="ru-RU"/>
        </w:rPr>
        <w:t>графовой</w:t>
      </w:r>
      <w:proofErr w:type="spellEnd"/>
      <w:r w:rsidRPr="000F2099">
        <w:rPr>
          <w:lang w:val="ru-RU"/>
        </w:rPr>
        <w:t xml:space="preserve"> модели схемы автоматизации».</w:t>
      </w:r>
    </w:p>
    <w:p w14:paraId="2403AAA5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По первому вопросу задания изложены методы анализа, сохранения и передачи информации цифровыми средствами.</w:t>
      </w:r>
      <w:r w:rsidRPr="000F2099">
        <w:rPr>
          <w:lang w:val="ru-RU"/>
        </w:rPr>
        <w:t xml:space="preserve"> Показано, что в магистерской диссертации:</w:t>
      </w:r>
    </w:p>
    <w:p w14:paraId="3BB63A35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>— основным методом анализа выступает формализация — представление электрической схемы автоматизации в виде типизированного ориентированного графа;</w:t>
      </w:r>
    </w:p>
    <w:p w14:paraId="58E3DAEB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сохранение данных реализуется в форматах </w:t>
      </w:r>
      <w:r>
        <w:t>JSON</w:t>
      </w:r>
      <w:r w:rsidRPr="000F2099">
        <w:rPr>
          <w:lang w:val="ru-RU"/>
        </w:rPr>
        <w:t xml:space="preserve"> (входной формат </w:t>
      </w:r>
      <w:proofErr w:type="spellStart"/>
      <w:r w:rsidRPr="000F2099">
        <w:rPr>
          <w:lang w:val="ru-RU"/>
        </w:rPr>
        <w:t>ми</w:t>
      </w:r>
      <w:r w:rsidRPr="000F2099">
        <w:rPr>
          <w:lang w:val="ru-RU"/>
        </w:rPr>
        <w:t>кросервиса</w:t>
      </w:r>
      <w:proofErr w:type="spellEnd"/>
      <w:r w:rsidRPr="000F2099">
        <w:rPr>
          <w:lang w:val="ru-RU"/>
        </w:rPr>
        <w:t xml:space="preserve">) и </w:t>
      </w:r>
      <w:proofErr w:type="spellStart"/>
      <w:r>
        <w:t>PLCOpen</w:t>
      </w:r>
      <w:proofErr w:type="spellEnd"/>
      <w:r w:rsidRPr="000F2099">
        <w:rPr>
          <w:lang w:val="ru-RU"/>
        </w:rPr>
        <w:t xml:space="preserve"> </w:t>
      </w:r>
      <w:r>
        <w:t>XML</w:t>
      </w:r>
      <w:r w:rsidRPr="000F2099">
        <w:rPr>
          <w:lang w:val="ru-RU"/>
        </w:rPr>
        <w:t xml:space="preserve"> (выходной формат), с применением системы контроля версий </w:t>
      </w:r>
      <w:r>
        <w:t>Git</w:t>
      </w:r>
      <w:r w:rsidRPr="000F2099">
        <w:rPr>
          <w:lang w:val="ru-RU"/>
        </w:rPr>
        <w:t>;</w:t>
      </w:r>
    </w:p>
    <w:p w14:paraId="38525724" w14:textId="77777777" w:rsidR="00856E25" w:rsidRPr="000F2099" w:rsidRDefault="005566DE">
      <w:pPr>
        <w:ind w:left="709" w:firstLine="0"/>
        <w:jc w:val="both"/>
        <w:rPr>
          <w:lang w:val="ru-RU"/>
        </w:rPr>
      </w:pPr>
      <w:r w:rsidRPr="000F2099">
        <w:rPr>
          <w:lang w:val="ru-RU"/>
        </w:rPr>
        <w:t xml:space="preserve">— передача данных осуществляется через </w:t>
      </w:r>
      <w:r>
        <w:t>REST</w:t>
      </w:r>
      <w:r w:rsidRPr="000F2099">
        <w:rPr>
          <w:lang w:val="ru-RU"/>
        </w:rPr>
        <w:t xml:space="preserve"> </w:t>
      </w:r>
      <w:r>
        <w:t>API</w:t>
      </w:r>
      <w:r w:rsidRPr="000F2099">
        <w:rPr>
          <w:lang w:val="ru-RU"/>
        </w:rPr>
        <w:t xml:space="preserve"> </w:t>
      </w:r>
      <w:proofErr w:type="spellStart"/>
      <w:r w:rsidRPr="000F2099">
        <w:rPr>
          <w:lang w:val="ru-RU"/>
        </w:rPr>
        <w:t>микросервиса</w:t>
      </w:r>
      <w:proofErr w:type="spellEnd"/>
      <w:r w:rsidRPr="000F2099">
        <w:rPr>
          <w:lang w:val="ru-RU"/>
        </w:rPr>
        <w:t xml:space="preserve">, что обеспечивает совместимость с существующими </w:t>
      </w:r>
      <w:r>
        <w:t>ECAD</w:t>
      </w:r>
      <w:r w:rsidRPr="000F2099">
        <w:rPr>
          <w:lang w:val="ru-RU"/>
        </w:rPr>
        <w:t xml:space="preserve">- и </w:t>
      </w:r>
      <w:r>
        <w:t>PLC</w:t>
      </w:r>
      <w:r w:rsidRPr="000F2099">
        <w:rPr>
          <w:lang w:val="ru-RU"/>
        </w:rPr>
        <w:t>-инструментами.</w:t>
      </w:r>
    </w:p>
    <w:p w14:paraId="49E5DDE3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По второму вопросу задания излож</w:t>
      </w:r>
      <w:r w:rsidRPr="000F2099">
        <w:rPr>
          <w:lang w:val="ru-RU"/>
        </w:rPr>
        <w:t xml:space="preserve">ены классификация математических моделей, алгоритм научных исследований с помощью математического моделирования и основные методы разработки моделей по учебному пособию М.С. </w:t>
      </w:r>
      <w:proofErr w:type="spellStart"/>
      <w:r w:rsidRPr="000F2099">
        <w:rPr>
          <w:lang w:val="ru-RU"/>
        </w:rPr>
        <w:t>Кубланова</w:t>
      </w:r>
      <w:proofErr w:type="spellEnd"/>
      <w:r w:rsidRPr="000F2099">
        <w:rPr>
          <w:lang w:val="ru-RU"/>
        </w:rPr>
        <w:t>. Обоснован выбор математической, символьной, детерминированной, дискретн</w:t>
      </w:r>
      <w:r w:rsidRPr="000F2099">
        <w:rPr>
          <w:lang w:val="ru-RU"/>
        </w:rPr>
        <w:t xml:space="preserve">ой модели для исследуемой задачи; ключевыми математическими инструментами являются теория графов и теория формальных языков. Аргументирован отказ от применения теории массового обслуживания, метода Монте-Карло и </w:t>
      </w:r>
      <w:r>
        <w:t>Π</w:t>
      </w:r>
      <w:r w:rsidRPr="000F2099">
        <w:rPr>
          <w:lang w:val="ru-RU"/>
        </w:rPr>
        <w:t>-теоремы как нерелевантных постановке задач</w:t>
      </w:r>
      <w:r w:rsidRPr="000F2099">
        <w:rPr>
          <w:lang w:val="ru-RU"/>
        </w:rPr>
        <w:t>и.</w:t>
      </w:r>
    </w:p>
    <w:p w14:paraId="127E373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По третьему вопросу задания изложены критерии научности (верификация и фальсификация), критерии адекватности математических </w:t>
      </w:r>
      <w:r w:rsidRPr="000F2099">
        <w:rPr>
          <w:lang w:val="ru-RU"/>
        </w:rPr>
        <w:lastRenderedPageBreak/>
        <w:t xml:space="preserve">моделей (точность и непротиворечивость), свойства методов вычислений (устойчивость, аппроксимация, сходимость) и приёмы контроля </w:t>
      </w:r>
      <w:r w:rsidRPr="000F2099">
        <w:rPr>
          <w:lang w:val="ru-RU"/>
        </w:rPr>
        <w:t>моделей. Сформулирован конкретный план экспериментальной апробации метода: тестовая выборка из 20–30 схем автоматизации, количественные метрики трудоёмкости, числа ошибок и доли автоматически сгенерированного кода, статистическая обработка результатов на у</w:t>
      </w:r>
      <w:r w:rsidRPr="000F2099">
        <w:rPr>
          <w:lang w:val="ru-RU"/>
        </w:rPr>
        <w:t xml:space="preserve">ровне значимости </w:t>
      </w:r>
      <w:r>
        <w:t>α</w:t>
      </w:r>
      <w:r w:rsidRPr="000F2099">
        <w:rPr>
          <w:lang w:val="ru-RU"/>
        </w:rPr>
        <w:t xml:space="preserve"> = 0,05.</w:t>
      </w:r>
    </w:p>
    <w:p w14:paraId="0F181198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Выполнение поставленных в отчёте задач показало, что предлагаемая в магистерской диссертации научная задача удовлетворяет критериям научности, использует адекватный математический аппарат и допускает корректную </w:t>
      </w:r>
      <w:r w:rsidRPr="000F2099">
        <w:rPr>
          <w:lang w:val="ru-RU"/>
        </w:rPr>
        <w:t>экспериментальную проверку с количественной оценкой эффективности предложенного метода. Тем самым подтверждается методологическая обоснованность выбранного направления исследования.</w:t>
      </w:r>
    </w:p>
    <w:p w14:paraId="2967AFF0" w14:textId="77777777" w:rsidR="00856E25" w:rsidRPr="000F2099" w:rsidRDefault="005566DE">
      <w:pPr>
        <w:rPr>
          <w:lang w:val="ru-RU"/>
        </w:rPr>
      </w:pPr>
      <w:r w:rsidRPr="000F2099">
        <w:rPr>
          <w:lang w:val="ru-RU"/>
        </w:rPr>
        <w:br w:type="page"/>
      </w:r>
    </w:p>
    <w:p w14:paraId="09D55B1D" w14:textId="77777777" w:rsidR="00856E25" w:rsidRPr="000F2099" w:rsidRDefault="005566DE">
      <w:pPr>
        <w:keepNext/>
        <w:spacing w:before="240" w:after="240"/>
        <w:ind w:firstLine="0"/>
        <w:jc w:val="center"/>
        <w:rPr>
          <w:lang w:val="ru-RU"/>
        </w:rPr>
      </w:pPr>
      <w:r w:rsidRPr="000F2099">
        <w:rPr>
          <w:b/>
          <w:lang w:val="ru-RU"/>
        </w:rPr>
        <w:lastRenderedPageBreak/>
        <w:t>СПИСОК ИСПОЛЬЗОВАННЫХ ИСТОЧНИКОВ</w:t>
      </w:r>
    </w:p>
    <w:p w14:paraId="5915219A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1. Планирование и проведение научных ис</w:t>
      </w:r>
      <w:r w:rsidRPr="000F2099">
        <w:rPr>
          <w:lang w:val="ru-RU"/>
        </w:rPr>
        <w:t>следований в области автоматизации и управления технологическими процессами: лекция / Кафедра № 31 ГУАП. — СПб.: ГУАП, 2025. — 5 с. — Текст: непосредственный.</w:t>
      </w:r>
    </w:p>
    <w:p w14:paraId="1AB70862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2. </w:t>
      </w:r>
      <w:proofErr w:type="spellStart"/>
      <w:r w:rsidRPr="000F2099">
        <w:rPr>
          <w:lang w:val="ru-RU"/>
        </w:rPr>
        <w:t>Кубланов</w:t>
      </w:r>
      <w:proofErr w:type="spellEnd"/>
      <w:r w:rsidRPr="000F2099">
        <w:rPr>
          <w:lang w:val="ru-RU"/>
        </w:rPr>
        <w:t>, М. С. Математическое моделирование. Методология и методы разработки математических м</w:t>
      </w:r>
      <w:r w:rsidRPr="000F2099">
        <w:rPr>
          <w:lang w:val="ru-RU"/>
        </w:rPr>
        <w:t xml:space="preserve">оделей механических систем и процессов. Часть </w:t>
      </w:r>
      <w:r>
        <w:t>I</w:t>
      </w:r>
      <w:r w:rsidRPr="000F2099">
        <w:rPr>
          <w:lang w:val="ru-RU"/>
        </w:rPr>
        <w:t xml:space="preserve">. Моделирование систем и процессов: учебное пособие / М. С. </w:t>
      </w:r>
      <w:proofErr w:type="spellStart"/>
      <w:r w:rsidRPr="000F2099">
        <w:rPr>
          <w:lang w:val="ru-RU"/>
        </w:rPr>
        <w:t>Кубланов</w:t>
      </w:r>
      <w:proofErr w:type="spellEnd"/>
      <w:r w:rsidRPr="000F2099">
        <w:rPr>
          <w:lang w:val="ru-RU"/>
        </w:rPr>
        <w:t xml:space="preserve">. — 3-е изд., </w:t>
      </w:r>
      <w:proofErr w:type="spellStart"/>
      <w:r w:rsidRPr="000F2099">
        <w:rPr>
          <w:lang w:val="ru-RU"/>
        </w:rPr>
        <w:t>перераб</w:t>
      </w:r>
      <w:proofErr w:type="spellEnd"/>
      <w:proofErr w:type="gramStart"/>
      <w:r w:rsidRPr="000F2099">
        <w:rPr>
          <w:lang w:val="ru-RU"/>
        </w:rPr>
        <w:t>.</w:t>
      </w:r>
      <w:proofErr w:type="gramEnd"/>
      <w:r w:rsidRPr="000F2099">
        <w:rPr>
          <w:lang w:val="ru-RU"/>
        </w:rPr>
        <w:t xml:space="preserve"> и доп. — М.: МГТУ ГА, 2004. — 108 с. — </w:t>
      </w:r>
      <w:r>
        <w:t>ISBN</w:t>
      </w:r>
      <w:r w:rsidRPr="000F2099">
        <w:rPr>
          <w:lang w:val="ru-RU"/>
        </w:rPr>
        <w:t xml:space="preserve"> 5-86311-428-2. — Текст: непосредственный.</w:t>
      </w:r>
    </w:p>
    <w:p w14:paraId="7AC95F9B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3. </w:t>
      </w:r>
      <w:proofErr w:type="spellStart"/>
      <w:r w:rsidRPr="000F2099">
        <w:rPr>
          <w:lang w:val="ru-RU"/>
        </w:rPr>
        <w:t>Мокий</w:t>
      </w:r>
      <w:proofErr w:type="spellEnd"/>
      <w:r w:rsidRPr="000F2099">
        <w:rPr>
          <w:lang w:val="ru-RU"/>
        </w:rPr>
        <w:t>, М. С. Методология науч</w:t>
      </w:r>
      <w:r w:rsidRPr="000F2099">
        <w:rPr>
          <w:lang w:val="ru-RU"/>
        </w:rPr>
        <w:t xml:space="preserve">ных исследований: учебник для магистратуры / М. С. </w:t>
      </w:r>
      <w:proofErr w:type="spellStart"/>
      <w:r w:rsidRPr="000F2099">
        <w:rPr>
          <w:lang w:val="ru-RU"/>
        </w:rPr>
        <w:t>Мокий</w:t>
      </w:r>
      <w:proofErr w:type="spellEnd"/>
      <w:r w:rsidRPr="000F2099">
        <w:rPr>
          <w:lang w:val="ru-RU"/>
        </w:rPr>
        <w:t xml:space="preserve">, А. Л. Никифоров, В. С. </w:t>
      </w:r>
      <w:proofErr w:type="spellStart"/>
      <w:r w:rsidRPr="000F2099">
        <w:rPr>
          <w:lang w:val="ru-RU"/>
        </w:rPr>
        <w:t>Мокий</w:t>
      </w:r>
      <w:proofErr w:type="spellEnd"/>
      <w:r w:rsidRPr="000F2099">
        <w:rPr>
          <w:lang w:val="ru-RU"/>
        </w:rPr>
        <w:t xml:space="preserve">. — М.: </w:t>
      </w:r>
      <w:proofErr w:type="spellStart"/>
      <w:r w:rsidRPr="000F2099">
        <w:rPr>
          <w:lang w:val="ru-RU"/>
        </w:rPr>
        <w:t>Юрайт</w:t>
      </w:r>
      <w:proofErr w:type="spellEnd"/>
      <w:r w:rsidRPr="000F2099">
        <w:rPr>
          <w:lang w:val="ru-RU"/>
        </w:rPr>
        <w:t>, 2015. — 255 с. — Текст: непосредственный.</w:t>
      </w:r>
    </w:p>
    <w:p w14:paraId="1A65AC81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4. Новиков, А. М. Методология научного исследования / А. М. Новиков, Д. А. Новиков. — М.: </w:t>
      </w:r>
      <w:proofErr w:type="spellStart"/>
      <w:r w:rsidRPr="000F2099">
        <w:rPr>
          <w:lang w:val="ru-RU"/>
        </w:rPr>
        <w:t>Либроком</w:t>
      </w:r>
      <w:proofErr w:type="spellEnd"/>
      <w:r w:rsidRPr="000F2099">
        <w:rPr>
          <w:lang w:val="ru-RU"/>
        </w:rPr>
        <w:t>, 2010. — 280 с</w:t>
      </w:r>
      <w:r w:rsidRPr="000F2099">
        <w:rPr>
          <w:lang w:val="ru-RU"/>
        </w:rPr>
        <w:t xml:space="preserve">. — </w:t>
      </w:r>
      <w:r>
        <w:t>ISBN</w:t>
      </w:r>
      <w:r w:rsidRPr="000F2099">
        <w:rPr>
          <w:lang w:val="ru-RU"/>
        </w:rPr>
        <w:t xml:space="preserve"> 978-5-397-00849-5. — </w:t>
      </w:r>
      <w:r>
        <w:t>URL</w:t>
      </w:r>
      <w:r w:rsidRPr="000F2099">
        <w:rPr>
          <w:lang w:val="ru-RU"/>
        </w:rPr>
        <w:t xml:space="preserve">: </w:t>
      </w:r>
      <w:r>
        <w:t>http</w:t>
      </w:r>
      <w:r w:rsidRPr="000F2099">
        <w:rPr>
          <w:lang w:val="ru-RU"/>
        </w:rPr>
        <w:t>://</w:t>
      </w:r>
      <w:r>
        <w:t>www</w:t>
      </w:r>
      <w:r w:rsidRPr="000F2099">
        <w:rPr>
          <w:lang w:val="ru-RU"/>
        </w:rPr>
        <w:t>.</w:t>
      </w:r>
      <w:proofErr w:type="spellStart"/>
      <w:r>
        <w:t>iprbookshop</w:t>
      </w:r>
      <w:proofErr w:type="spellEnd"/>
      <w:r w:rsidRPr="000F2099">
        <w:rPr>
          <w:lang w:val="ru-RU"/>
        </w:rPr>
        <w:t>.</w:t>
      </w:r>
      <w:proofErr w:type="spellStart"/>
      <w:r>
        <w:t>ru</w:t>
      </w:r>
      <w:proofErr w:type="spellEnd"/>
      <w:r w:rsidRPr="000F2099">
        <w:rPr>
          <w:lang w:val="ru-RU"/>
        </w:rPr>
        <w:t>/8500.</w:t>
      </w:r>
      <w:r>
        <w:t>html</w:t>
      </w:r>
      <w:r w:rsidRPr="000F2099">
        <w:rPr>
          <w:lang w:val="ru-RU"/>
        </w:rPr>
        <w:t>. — Режим доступа: по подписке. — Текст: электронный.</w:t>
      </w:r>
    </w:p>
    <w:p w14:paraId="4997999E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5. Пещеров, Г. И. Методология научного исследования: учебное пособие / Г. И. Пещеров, О. Н. </w:t>
      </w:r>
      <w:proofErr w:type="spellStart"/>
      <w:r w:rsidRPr="000F2099">
        <w:rPr>
          <w:lang w:val="ru-RU"/>
        </w:rPr>
        <w:t>Слоботчиков</w:t>
      </w:r>
      <w:proofErr w:type="spellEnd"/>
      <w:r w:rsidRPr="000F2099">
        <w:rPr>
          <w:lang w:val="ru-RU"/>
        </w:rPr>
        <w:t>. — М.: Институт мировых циви</w:t>
      </w:r>
      <w:r w:rsidRPr="000F2099">
        <w:rPr>
          <w:lang w:val="ru-RU"/>
        </w:rPr>
        <w:t xml:space="preserve">лизаций, 2017. — 312 с. — </w:t>
      </w:r>
      <w:r>
        <w:t>ISBN</w:t>
      </w:r>
      <w:r w:rsidRPr="000F2099">
        <w:rPr>
          <w:lang w:val="ru-RU"/>
        </w:rPr>
        <w:t xml:space="preserve"> 978-5-9500469-0-2. — </w:t>
      </w:r>
      <w:r>
        <w:t>URL</w:t>
      </w:r>
      <w:r w:rsidRPr="000F2099">
        <w:rPr>
          <w:lang w:val="ru-RU"/>
        </w:rPr>
        <w:t xml:space="preserve">: </w:t>
      </w:r>
      <w:r>
        <w:t>http</w:t>
      </w:r>
      <w:r w:rsidRPr="000F2099">
        <w:rPr>
          <w:lang w:val="ru-RU"/>
        </w:rPr>
        <w:t>://</w:t>
      </w:r>
      <w:r>
        <w:t>www</w:t>
      </w:r>
      <w:r w:rsidRPr="000F2099">
        <w:rPr>
          <w:lang w:val="ru-RU"/>
        </w:rPr>
        <w:t>.</w:t>
      </w:r>
      <w:proofErr w:type="spellStart"/>
      <w:r>
        <w:t>iprbookshop</w:t>
      </w:r>
      <w:proofErr w:type="spellEnd"/>
      <w:r w:rsidRPr="000F2099">
        <w:rPr>
          <w:lang w:val="ru-RU"/>
        </w:rPr>
        <w:t>.</w:t>
      </w:r>
      <w:proofErr w:type="spellStart"/>
      <w:r>
        <w:t>ru</w:t>
      </w:r>
      <w:proofErr w:type="spellEnd"/>
      <w:r w:rsidRPr="000F2099">
        <w:rPr>
          <w:lang w:val="ru-RU"/>
        </w:rPr>
        <w:t>/77633.</w:t>
      </w:r>
      <w:r>
        <w:t>html</w:t>
      </w:r>
      <w:r w:rsidRPr="000F2099">
        <w:rPr>
          <w:lang w:val="ru-RU"/>
        </w:rPr>
        <w:t>. — Режим доступа: по подписке. — Текст: электронный.</w:t>
      </w:r>
    </w:p>
    <w:p w14:paraId="57ED2A8C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>6. ГОСТ 7.0.5–2008. Система стандартов по информации, библиотечному и издательскому делу. Библиографическая с</w:t>
      </w:r>
      <w:r w:rsidRPr="000F2099">
        <w:rPr>
          <w:lang w:val="ru-RU"/>
        </w:rPr>
        <w:t xml:space="preserve">сылка. Общие требования и правила составления. — М.: </w:t>
      </w:r>
      <w:proofErr w:type="spellStart"/>
      <w:r w:rsidRPr="000F2099">
        <w:rPr>
          <w:lang w:val="ru-RU"/>
        </w:rPr>
        <w:t>Стандартинформ</w:t>
      </w:r>
      <w:proofErr w:type="spellEnd"/>
      <w:r w:rsidRPr="000F2099">
        <w:rPr>
          <w:lang w:val="ru-RU"/>
        </w:rPr>
        <w:t>, 2008. — Текст: непосредственный.</w:t>
      </w:r>
    </w:p>
    <w:p w14:paraId="40862922" w14:textId="77777777" w:rsidR="00856E25" w:rsidRPr="000F2099" w:rsidRDefault="005566DE">
      <w:pPr>
        <w:jc w:val="both"/>
        <w:rPr>
          <w:lang w:val="ru-RU"/>
        </w:rPr>
      </w:pPr>
      <w:r w:rsidRPr="000F2099">
        <w:rPr>
          <w:lang w:val="ru-RU"/>
        </w:rPr>
        <w:t xml:space="preserve">7. ГОСТ Р 7.0.100–2018. Система стандартов по информации, библиотечному и издательскому делу. Библиографическая запись. </w:t>
      </w:r>
      <w:r w:rsidRPr="000F2099">
        <w:rPr>
          <w:lang w:val="ru-RU"/>
        </w:rPr>
        <w:lastRenderedPageBreak/>
        <w:t xml:space="preserve">Библиографическое описание. Общие </w:t>
      </w:r>
      <w:r w:rsidRPr="000F2099">
        <w:rPr>
          <w:lang w:val="ru-RU"/>
        </w:rPr>
        <w:t xml:space="preserve">требования и правила составления. — М.: </w:t>
      </w:r>
      <w:proofErr w:type="spellStart"/>
      <w:r w:rsidRPr="000F2099">
        <w:rPr>
          <w:lang w:val="ru-RU"/>
        </w:rPr>
        <w:t>Стандартинформ</w:t>
      </w:r>
      <w:proofErr w:type="spellEnd"/>
      <w:r w:rsidRPr="000F2099">
        <w:rPr>
          <w:lang w:val="ru-RU"/>
        </w:rPr>
        <w:t>, 2018. — Текст: непосредственный.</w:t>
      </w:r>
    </w:p>
    <w:p w14:paraId="75E4C2E2" w14:textId="77777777" w:rsidR="00856E25" w:rsidRDefault="005566DE">
      <w:pPr>
        <w:jc w:val="both"/>
      </w:pPr>
      <w:r>
        <w:t>8. IEC 61131-3:2013. Programmable controllers — Part 3: Programming languages. — Geneva: International Electrotechnical Commission, 2013. — Text: direct.</w:t>
      </w:r>
    </w:p>
    <w:p w14:paraId="64154785" w14:textId="77777777" w:rsidR="00856E25" w:rsidRDefault="005566DE">
      <w:pPr>
        <w:jc w:val="both"/>
      </w:pPr>
      <w:r>
        <w:t xml:space="preserve">9. Drath, R. </w:t>
      </w:r>
      <w:r>
        <w:t>AutomationML: The industrial standard for engineering data exchange / R. Drath // IEEE International Conference on Emerging Technologies and Factory Automation (ETFA). — 2021. — P. 1–8. — Text: direct.</w:t>
      </w:r>
    </w:p>
    <w:p w14:paraId="1F65970E" w14:textId="77777777" w:rsidR="00856E25" w:rsidRDefault="005566DE">
      <w:pPr>
        <w:jc w:val="both"/>
      </w:pPr>
      <w:r>
        <w:t>10. Vyatkin, V. Software Engineering in Industrial Aut</w:t>
      </w:r>
      <w:r>
        <w:t>omation: State-of-the-Art Review / V. Vyatkin // IEEE Transactions on Industrial Informatics. — 2013. — Vol. 9, no. 3. — P. 1234–1249. — Text: direct.</w:t>
      </w:r>
    </w:p>
    <w:sectPr w:rsidR="00856E25" w:rsidSect="00034616">
      <w:footerReference w:type="default" r:id="rId8"/>
      <w:footerReference w:type="first" r:id="rId9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A9382" w14:textId="77777777" w:rsidR="005566DE" w:rsidRDefault="005566DE">
      <w:pPr>
        <w:spacing w:line="240" w:lineRule="auto"/>
      </w:pPr>
      <w:r>
        <w:separator/>
      </w:r>
    </w:p>
  </w:endnote>
  <w:endnote w:type="continuationSeparator" w:id="0">
    <w:p w14:paraId="1C865F30" w14:textId="77777777" w:rsidR="005566DE" w:rsidRDefault="005566D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477EE" w14:textId="77777777" w:rsidR="00856E25" w:rsidRDefault="005566DE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 w:rsidR="000F2099">
      <w:rPr>
        <w:sz w:val="24"/>
      </w:rPr>
      <w:fldChar w:fldCharType="separate"/>
    </w:r>
    <w:r w:rsidR="000F2099">
      <w:rPr>
        <w:noProof/>
        <w:sz w:val="24"/>
      </w:rPr>
      <w:t>2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6BE0D7" w14:textId="77777777" w:rsidR="00856E25" w:rsidRDefault="00856E2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3FCBCB" w14:textId="77777777" w:rsidR="005566DE" w:rsidRDefault="005566DE">
      <w:pPr>
        <w:spacing w:line="240" w:lineRule="auto"/>
      </w:pPr>
      <w:r>
        <w:separator/>
      </w:r>
    </w:p>
  </w:footnote>
  <w:footnote w:type="continuationSeparator" w:id="0">
    <w:p w14:paraId="6656F3F3" w14:textId="77777777" w:rsidR="005566DE" w:rsidRDefault="005566D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099"/>
    <w:rsid w:val="0015074B"/>
    <w:rsid w:val="0029639D"/>
    <w:rsid w:val="00326F90"/>
    <w:rsid w:val="005566DE"/>
    <w:rsid w:val="00856E25"/>
    <w:rsid w:val="00AA1D8D"/>
    <w:rsid w:val="00B47730"/>
    <w:rsid w:val="00CB0664"/>
    <w:rsid w:val="00D72B29"/>
    <w:rsid w:val="00E02D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0D09D3"/>
  <w14:defaultImageDpi w14:val="300"/>
  <w15:docId w15:val="{94DA897D-D28A-464C-975D-6265C45C2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28</Pages>
  <Words>5501</Words>
  <Characters>31360</Characters>
  <Application>Microsoft Office Word</Application>
  <DocSecurity>0</DocSecurity>
  <Lines>261</Lines>
  <Paragraphs>73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36788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Dmitry Samarin</cp:lastModifiedBy>
  <cp:revision>2</cp:revision>
  <dcterms:created xsi:type="dcterms:W3CDTF">2013-12-23T23:15:00Z</dcterms:created>
  <dcterms:modified xsi:type="dcterms:W3CDTF">2026-05-12T18:25:00Z</dcterms:modified>
  <cp:category/>
</cp:coreProperties>
</file>