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Карта правок ВКРМ под REST-архитектуру</w:t>
      </w:r>
    </w:p>
    <w:p>
      <w:pPr>
        <w:jc w:val="center"/>
      </w:pPr>
      <w:r>
        <w:rPr>
          <w:rFonts w:ascii="Times New Roman" w:hAnsi="Times New Roman"/>
          <w:i/>
          <w:sz w:val="24"/>
        </w:rPr>
        <w:t>Подготовлено для ручного переноса изменений в основную ВКР</w:t>
      </w:r>
    </w:p>
    <w:p>
      <w:r>
        <w:rPr>
          <w:rFonts w:ascii="Times New Roman" w:hAnsi="Times New Roman"/>
          <w:b/>
          <w:sz w:val="28"/>
        </w:rPr>
        <w:t>1. Что изменилось в архитектуре системы</w:t>
      </w:r>
    </w:p>
    <w:p>
      <w:pPr>
        <w:spacing w:after="120"/>
        <w:ind w:firstLine="700"/>
      </w:pPr>
      <w:r>
        <w:t>После перехода на новую версию проекта межсервисное взаимодействие в системе больше не основано на gRPC и Protocol Buffers. В актуальной реализации все ключевые сервисы взаимодействуют друг с другом по синхронному HTTP-интерфейсу, а обмен данными выполняется в формате JSON. Таким образом, в обновленной архитектуре единый конвейер обработки обращений реализован как последовательность REST-вызовов, координируемых центральным сервисом orchestrator.</w:t>
      </w:r>
    </w:p>
    <w:p>
      <w:pPr>
        <w:spacing w:after="120"/>
        <w:ind w:firstLine="700"/>
      </w:pPr>
      <w:r>
        <w:t>Смысловая структура системы при этом не изменилась: сервис транскрибации по-прежнему преобразует аудиозапись в текст, сервис маршрутизации определяет класс обращения и целевую группу обработки, сервис извлечения сущностей выделяет значимые данные из текста, а сервис создания тикетов формирует итоговую запись для внешней тикетной системы. Изменилась именно транспортная модель интеграции между сервисами.</w:t>
      </w:r>
    </w:p>
    <w:p>
      <w:r>
        <w:rPr>
          <w:rFonts w:ascii="Times New Roman" w:hAnsi="Times New Roman"/>
          <w:b/>
          <w:sz w:val="28"/>
        </w:rPr>
        <w:t>2. Места в ВКР, которые нужно обязательно переписать</w:t>
      </w:r>
    </w:p>
    <w:p>
      <w:pPr>
        <w:pStyle w:val="ListBullet"/>
      </w:pPr>
      <w:r>
        <w:t>Все фрагменты, где межсервисное взаимодействие описано через gRPC, protobuf, RPC-вызовы или .proto-контракты.</w:t>
      </w:r>
    </w:p>
    <w:p>
      <w:pPr>
        <w:pStyle w:val="ListBullet"/>
      </w:pPr>
      <w:r>
        <w:t>Все абзацы, где модуль управления orchestrator указан как сервис, принимающий запросы одновременно по REST API и gRPC.</w:t>
      </w:r>
    </w:p>
    <w:p>
      <w:pPr>
        <w:pStyle w:val="ListBullet"/>
      </w:pPr>
      <w:r>
        <w:t>Раздел с обоснованием выбора gRPC как внутреннего транспорта между сервисами.</w:t>
      </w:r>
    </w:p>
    <w:p>
      <w:pPr>
        <w:pStyle w:val="ListBullet"/>
      </w:pPr>
      <w:r>
        <w:t>Описание реализации сервиса транскрибации как gRPC-сервера.</w:t>
      </w:r>
    </w:p>
    <w:p>
      <w:pPr>
        <w:pStyle w:val="ListBullet"/>
      </w:pPr>
      <w:r>
        <w:t>Описание реализации сервиса маршрутизации как gRPC-сервера с отдельной HTTP-admin частью.</w:t>
      </w:r>
    </w:p>
    <w:p>
      <w:pPr>
        <w:pStyle w:val="ListBullet"/>
      </w:pPr>
      <w:r>
        <w:t>Описание сервиса создания тикетов через TicketGRPCHandler и protobuf-конвертацию входных и выходных структур.</w:t>
      </w:r>
    </w:p>
    <w:p>
      <w:pPr>
        <w:pStyle w:val="ListBullet"/>
      </w:pPr>
      <w:r>
        <w:t>Приложения, в которых приведены листинги proto-файла, grpc_server.py и других gRPC-обработчиков.</w:t>
      </w:r>
    </w:p>
    <w:p>
      <w:r>
        <w:rPr>
          <w:rFonts w:ascii="Times New Roman" w:hAnsi="Times New Roman"/>
          <w:b/>
          <w:sz w:val="28"/>
        </w:rPr>
        <w:t>3. Готовая формулировка для раздела с архитектурой</w:t>
      </w:r>
    </w:p>
    <w:p>
      <w:pPr>
        <w:spacing w:after="120"/>
        <w:ind w:firstLine="700"/>
      </w:pPr>
      <w:r>
        <w:t>Разработанная система построена по микросервисной архитектуре, в которой центральный модуль orchestrator координирует выполнение полного конвейера обработки телефонного обращения. В актуальной версии системы все межсервисные вызовы выполняются по синхронному HTTP-интерфейсу с передачей данных в формате JSON. Такой подход позволяет сохранить прозрачную последовательность обработки обращения и одновременно упростить сопровождение программной реализации.</w:t>
      </w:r>
    </w:p>
    <w:p>
      <w:pPr>
        <w:spacing w:after="120"/>
        <w:ind w:firstLine="700"/>
      </w:pPr>
      <w:r>
        <w:t>При поступлении нового обращения orchestrator последовательно вызывает сервис транскрибации, сервис маршрутизации, сервис извлечения сущностей и сервис создания тикетов. Каждый следующий этап запускается только после получения результата предыдущего этапа. За счет этого orchestrator выступает не только точкой входа в систему, но и модулем координации, отвечающим за управление состояниями обработки, передачу промежуточных результатов и реализацию сценариев ручного подтверждения решений.</w:t>
      </w:r>
    </w:p>
    <w:p>
      <w:r>
        <w:rPr>
          <w:rFonts w:ascii="Times New Roman" w:hAnsi="Times New Roman"/>
          <w:b/>
          <w:sz w:val="28"/>
        </w:rPr>
        <w:t>4. Готовая формулировка для обоснования выбора REST</w:t>
      </w:r>
    </w:p>
    <w:p>
      <w:pPr>
        <w:spacing w:after="120"/>
        <w:ind w:firstLine="700"/>
      </w:pPr>
      <w:r>
        <w:t>В обновленной версии системы для межсервисного взаимодействия был выбран синхронный REST-подход. Такой выбор обусловлен последовательным характером обработки телефонных обращений: каждый следующий этап зависит от результатов предыдущего этапа. В частности, маршрутизация невозможна без получения транскрипта обращения, извлечение сущностей требует готового текста, а создание тикета зависит от результатов классификации и анализа содержания обращения.</w:t>
      </w:r>
    </w:p>
    <w:p>
      <w:pPr>
        <w:spacing w:after="120"/>
        <w:ind w:firstLine="700"/>
      </w:pPr>
      <w:r>
        <w:t>Использование REST-интерфейсов позволило упростить программную архитектуру, отказаться от дополнительного слоя генерации protobuf-контрактов и сделать взаимодействие между сервисами более прозрачным для отладки и сопровождения. Для рассматриваемой выпускной квалификационной работы такой подход оказался более удобным, поскольку он обеспечивает читаемость архитектуры, наглядность межсервисных вызовов и простоту анализа программной реализации.</w:t>
      </w:r>
    </w:p>
    <w:p>
      <w:r>
        <w:rPr>
          <w:rFonts w:ascii="Times New Roman" w:hAnsi="Times New Roman"/>
          <w:b/>
          <w:sz w:val="28"/>
        </w:rPr>
        <w:t>5. Готовая формулировка для раздела о сервисе транскрибации</w:t>
      </w:r>
    </w:p>
    <w:p>
      <w:pPr>
        <w:spacing w:after="120"/>
        <w:ind w:firstLine="700"/>
      </w:pPr>
      <w:r>
        <w:t>Сервис транскрибации в актуальной версии системы реализован как HTTP-сервис. Он принимает аудиоданные обращения, сохраняет их во временный файл и передает в модуль транскрибации на основе WhisperX. После завершения распознавания сервис формирует структурированный JSON-ответ, содержащий сегменты диалога, служебные метаданные и итоговый текст обращения.</w:t>
      </w:r>
    </w:p>
    <w:p>
      <w:pPr>
        <w:spacing w:after="120"/>
        <w:ind w:firstLine="700"/>
      </w:pPr>
      <w:r>
        <w:t>Внутренняя логика сервиса включает подготовку аудиофайла, запуск модели распознавания речи, при необходимости определение ролей говорящих и последующую нормализацию результата. Таким образом, сервис транскрибации обеспечивает переход от необработанного аудиопотока к текстовому представлению обращения, пригодному для последующей маршрутизации и извлечения сущностей.</w:t>
      </w:r>
    </w:p>
    <w:p>
      <w:r>
        <w:rPr>
          <w:rFonts w:ascii="Times New Roman" w:hAnsi="Times New Roman"/>
          <w:b/>
          <w:sz w:val="28"/>
        </w:rPr>
        <w:t>6. Готовая формулировка для раздела о сервисе маршрутизации</w:t>
      </w:r>
    </w:p>
    <w:p>
      <w:pPr>
        <w:spacing w:after="120"/>
        <w:ind w:firstLine="700"/>
      </w:pPr>
      <w:r>
        <w:t>Сервис маршрутизации в новой версии системы реализован как HTTP-сервис, принимающий JSON-представление уже расшифрованного обращения. Основная задача сервиса заключается в определении класса обращения, оценке уверенности модели и выборе рекомендуемой группы обработки. Для этого текст обращения предварительно нормализуется, после чего передается в модуль интеллектуального анализа CallIntentAnalyzer и далее в компонент инференса дообученной модели маршрутизации.</w:t>
      </w:r>
    </w:p>
    <w:p>
      <w:pPr>
        <w:spacing w:after="120"/>
        <w:ind w:firstLine="700"/>
      </w:pPr>
      <w:r>
        <w:t>Результатом работы сервиса маршрутизации является JSON-структура, содержащая идентификатор класса обращения, уровень уверенности, приоритет и рекомендуемую группу. Кроме основного endpoint маршрутизации, сервис предоставляет административный HTTP-интерфейс для контроля состояния модели и параметров маршрутизации.</w:t>
      </w:r>
    </w:p>
    <w:p>
      <w:r>
        <w:rPr>
          <w:rFonts w:ascii="Times New Roman" w:hAnsi="Times New Roman"/>
          <w:b/>
          <w:sz w:val="28"/>
        </w:rPr>
        <w:t>7. Готовая формулировка для раздела о сервисе создания тикетов</w:t>
      </w:r>
    </w:p>
    <w:p>
      <w:pPr>
        <w:spacing w:after="120"/>
        <w:ind w:firstLine="700"/>
      </w:pPr>
      <w:r>
        <w:t>Сервис создания тикетов в актуальной версии системы также работает как HTTP-сервис. Он принимает агрегированный JSON-запрос, включающий текст обращения, результаты маршрутизации и выделенные сущности, после чего формирует содержимое тикета, при необходимости дополняет его кратким резюме и передает результат в адаптер внешней тикетной системы.</w:t>
      </w:r>
    </w:p>
    <w:p>
      <w:pPr>
        <w:spacing w:after="120"/>
        <w:ind w:firstLine="700"/>
      </w:pPr>
      <w:r>
        <w:t>Внутри сервиса реализован слой прикладной логики TicketCreatorService, который отвечает за подготовку тикета, взаимодействие с модулем суммаризации, интеграцию с сервисом извлечения сущностей и сохранение итоговых данных в базе. Таким образом, сервис создания тикетов выполняет роль завершающего звена конвейера обработки обращений.</w:t>
      </w:r>
    </w:p>
    <w:p>
      <w:r>
        <w:rPr>
          <w:rFonts w:ascii="Times New Roman" w:hAnsi="Times New Roman"/>
          <w:b/>
          <w:sz w:val="28"/>
        </w:rPr>
        <w:t>8. Готовая формулировка для раздела о модуле orchestrator</w:t>
      </w:r>
    </w:p>
    <w:p>
      <w:pPr>
        <w:spacing w:after="120"/>
        <w:ind w:firstLine="700"/>
      </w:pPr>
      <w:r>
        <w:t>Модуль orchestrator в новой версии системы представляет собой центральный HTTP-сервис, который управляет всей последовательностью обработки телефонных обращений. Он принимает входной запрос на запуск обработки, передает аудиоданные в сервис транскрибации, затем направляет полученный текст в сервис маршрутизации, при необходимости инициирует извлечение сущностей и завершает обработку созданием тикета.</w:t>
      </w:r>
    </w:p>
    <w:p>
      <w:pPr>
        <w:spacing w:after="120"/>
        <w:ind w:firstLine="700"/>
      </w:pPr>
      <w:r>
        <w:t>Кроме базового линейного сценария orchestrator реализует обработку специальных состояний, включая ручную проверку маршрутизации, блокировку спам-обращений, разблокировку после подтверждения оператора и повторный запуск части конвейера после override. Благодаря этому orchestrator выполняет не только интеграционную, но и координирующую функцию в общей архитектуре системы.</w:t>
      </w:r>
    </w:p>
    <w:p>
      <w:r>
        <w:rPr>
          <w:rFonts w:ascii="Times New Roman" w:hAnsi="Times New Roman"/>
          <w:b/>
          <w:sz w:val="28"/>
        </w:rPr>
        <w:t>9. Что поменять в разделе тестирования</w:t>
      </w:r>
    </w:p>
    <w:p>
      <w:pPr>
        <w:pStyle w:val="ListBullet"/>
      </w:pPr>
      <w:r>
        <w:t>Заменить формулировки про тестирование gRPC-взаимодействия на формулировки про тестирование межсервисного HTTP-взаимодействия.</w:t>
      </w:r>
    </w:p>
    <w:p>
      <w:pPr>
        <w:pStyle w:val="ListBullet"/>
      </w:pPr>
      <w:r>
        <w:t>Если в тексте фигурируют проверки protobuf-контрактов, заменить их на проверки REST API и JSON-структур запросов и ответов.</w:t>
      </w:r>
    </w:p>
    <w:p>
      <w:pPr>
        <w:pStyle w:val="ListBullet"/>
      </w:pPr>
      <w:r>
        <w:t>Если нагрузочное тестирование описано как тестирование gRPC-контура, заменить формулировку на нагрузочное тестирование HTTP-конвейера обработки обращений.</w:t>
      </w:r>
    </w:p>
    <w:p>
      <w:pPr>
        <w:pStyle w:val="ListBullet"/>
      </w:pPr>
      <w:r>
        <w:t>Сохранить сами результаты тестирования можно, если они по смыслу проверяют производительность и устойчивость полного сценария обработки, а не только конкретную gRPC-механику.</w:t>
      </w:r>
    </w:p>
    <w:p>
      <w:r>
        <w:rPr>
          <w:rFonts w:ascii="Times New Roman" w:hAnsi="Times New Roman"/>
          <w:b/>
          <w:sz w:val="28"/>
        </w:rPr>
        <w:t>10. Что поменять в приложениях</w:t>
      </w:r>
    </w:p>
    <w:p>
      <w:pPr>
        <w:spacing w:after="120"/>
        <w:ind w:firstLine="700"/>
      </w:pPr>
      <w:r>
        <w:t>Приложения к ВКР рекомендуется обновить так, чтобы они отражали текущую REST-версию системы. Вместо proto-файла и gRPC-обработчиков целесообразно привести листинги HTTP-серверов, HTTP-клиентов orchestrator и ключевого orchestration-конвейера.</w:t>
      </w:r>
    </w:p>
    <w:p>
      <w:pPr>
        <w:pStyle w:val="ListBullet"/>
      </w:pPr>
      <w:r>
        <w:t>Заменить приложение с proto-контрактом на приложение с примерами REST-контрактов или JSON DTO межсервисного взаимодействия.</w:t>
      </w:r>
    </w:p>
    <w:p>
      <w:pPr>
        <w:pStyle w:val="ListBullet"/>
      </w:pPr>
      <w:r>
        <w:t>Заменить листинг services/transcription/grpc_server.py на листинг services/transcription/server.py.</w:t>
      </w:r>
    </w:p>
    <w:p>
      <w:pPr>
        <w:pStyle w:val="ListBullet"/>
      </w:pPr>
      <w:r>
        <w:t>Если в приложениях фигурирует TicketGRPCHandler, заменить его на листинг HTTP-обработчика ticket_handler.go.</w:t>
      </w:r>
    </w:p>
    <w:p>
      <w:pPr>
        <w:pStyle w:val="ListBullet"/>
      </w:pPr>
      <w:r>
        <w:t>При необходимости включить в приложения листинги HTTP-клиентов orchestrator для вызова transcription, router и ticket_creation сервисов.</w:t>
      </w:r>
    </w:p>
    <w:p>
      <w:r>
        <w:rPr>
          <w:rFonts w:ascii="Times New Roman" w:hAnsi="Times New Roman"/>
          <w:b/>
          <w:sz w:val="28"/>
        </w:rPr>
        <w:t>11. Какие файлы новой REST-версии использовать как основу для приложений</w:t>
      </w:r>
    </w:p>
    <w:p>
      <w:pPr>
        <w:pStyle w:val="ListBullet"/>
      </w:pPr>
      <w:r>
        <w:t>/Users/dmitrii/ts_calls_automation_rest/services/transcription/server.py</w:t>
      </w:r>
    </w:p>
    <w:p>
      <w:pPr>
        <w:pStyle w:val="ListBullet"/>
      </w:pPr>
      <w:r>
        <w:t>/Users/dmitrii/ts_calls_automation_rest/services/router/server.py</w:t>
      </w:r>
    </w:p>
    <w:p>
      <w:pPr>
        <w:pStyle w:val="ListBullet"/>
      </w:pPr>
      <w:r>
        <w:t>/Users/dmitrii/ts_calls_automation_rest/services/orchestrator/internal/clients/transcription_client.go</w:t>
      </w:r>
    </w:p>
    <w:p>
      <w:pPr>
        <w:pStyle w:val="ListBullet"/>
      </w:pPr>
      <w:r>
        <w:t>/Users/dmitrii/ts_calls_automation_rest/services/orchestrator/internal/clients/routing_client.go</w:t>
      </w:r>
    </w:p>
    <w:p>
      <w:pPr>
        <w:pStyle w:val="ListBullet"/>
      </w:pPr>
      <w:r>
        <w:t>/Users/dmitrii/ts_calls_automation_rest/services/orchestrator/internal/clients/ticket_client.go</w:t>
      </w:r>
    </w:p>
    <w:p>
      <w:pPr>
        <w:pStyle w:val="ListBullet"/>
      </w:pPr>
      <w:r>
        <w:t>/Users/dmitrii/ts_calls_automation_rest/services/orchestrator/internal/services/orchestrator_service.go</w:t>
      </w:r>
    </w:p>
    <w:p>
      <w:pPr>
        <w:pStyle w:val="ListBullet"/>
      </w:pPr>
      <w:r>
        <w:t>/Users/dmitrii/ts_calls_automation_rest/services/ticket_creation/internal/handlers/ticket_handler.go</w:t>
      </w:r>
    </w:p>
    <w:p>
      <w:r>
        <w:rPr>
          <w:rFonts w:ascii="Times New Roman" w:hAnsi="Times New Roman"/>
          <w:b/>
          <w:sz w:val="28"/>
        </w:rPr>
        <w:t>12. Практический порядок ручного переноса правок</w:t>
      </w:r>
    </w:p>
    <w:p>
      <w:pPr>
        <w:pStyle w:val="ListBullet"/>
      </w:pPr>
      <w:r>
        <w:t>Сначала заменить все прямые упоминания gRPC, protobuf и .proto в основной части работы.</w:t>
      </w:r>
    </w:p>
    <w:p>
      <w:pPr>
        <w:pStyle w:val="ListBullet"/>
      </w:pPr>
      <w:r>
        <w:t>Затем переписать архитектурный раздел и обоснование выбора транспорта.</w:t>
      </w:r>
    </w:p>
    <w:p>
      <w:pPr>
        <w:pStyle w:val="ListBullet"/>
      </w:pPr>
      <w:r>
        <w:t>После этого обновить разделы реализации отдельных сервисов: transcription, router, orchestrator, ticket_creation.</w:t>
      </w:r>
    </w:p>
    <w:p>
      <w:pPr>
        <w:pStyle w:val="ListBullet"/>
      </w:pPr>
      <w:r>
        <w:t>Далее пересобрать таблицы интерфейсов и подписи к диаграммам, если там остались старые обозначения.</w:t>
      </w:r>
    </w:p>
    <w:p>
      <w:pPr>
        <w:pStyle w:val="ListBullet"/>
      </w:pPr>
      <w:r>
        <w:t>В конце заменить приложения и листинги, чтобы они полностью соответствовали REST-версии репозитория.</w:t>
      </w:r>
    </w:p>
    <w:p>
      <w:r>
        <w:rPr>
          <w:rFonts w:ascii="Times New Roman" w:hAnsi="Times New Roman"/>
          <w:b/>
          <w:sz w:val="28"/>
        </w:rPr>
        <w:t>13. Итоговая рекомендация</w:t>
      </w:r>
    </w:p>
    <w:p>
      <w:pPr>
        <w:spacing w:after="120"/>
        <w:ind w:firstLine="700"/>
      </w:pPr>
      <w:r>
        <w:t>При ручном переносе правок важно не ограничиваться механической заменой слов gRPC на REST. Необходимо обновить описание межсервисного взаимодействия, контрактов обмена данными, точек входа сервисов и приложений с листингами. Только в этом случае текст ВКР будет согласован с актуальной программной реализацией системы.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