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User Manual</w:t>
      </w:r>
    </w:p>
    <w:p>
      <w:pPr>
        <w:spacing w:after="40"/>
        <w:jc w:val="center"/>
      </w:pPr>
      <w:r>
        <w:rPr>
          <w:rFonts w:ascii="Arial" w:cs="Arial" w:eastAsia="Arial" w:hAnsi="Arial"/>
          <w:sz w:val="24"/>
          <w:szCs w:val="24"/>
        </w:rPr>
        <w:t xml:space="preserve">LSTM Autoencoder Anomaly Detection — NASA CMAPSS FD001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April 2026</w:t>
      </w:r>
    </w:p>
    <w:p>
      <w:pPr>
        <w:pStyle w:val="Heading1"/>
      </w:pPr>
      <w:r>
        <w:rPr>
          <w:rFonts w:ascii="Arial" w:cs="Arial" w:eastAsia="Arial" w:hAnsi="Arial"/>
        </w:rPr>
        <w:t xml:space="preserve">1. What Does This System Do?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Monitors NASA CMAPSS turbofan jet engine sensor data and automatically detects abnormal engine behaviour. The model was trained on healthy engine cycles and alerts when sensor readings deviate significantly — indicating potential engine degradation.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2. Getting Started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Open a browser and go to: http://localhost:5000. No login required.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3. The Dashboard Page</w:t>
      </w:r>
    </w:p>
    <w:p>
      <w:pPr>
        <w:pStyle w:val="Heading2"/>
      </w:pPr>
      <w:r>
        <w:rPr>
          <w:rFonts w:ascii="Arial" w:cs="Arial" w:eastAsia="Arial" w:hAnsi="Arial"/>
        </w:rPr>
        <w:t xml:space="preserve">Pipeline Status Cards (top)</w:t>
      </w:r>
    </w:p>
    <w:p>
      <w:pPr>
        <w:spacing w:after="8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•  Rows Ingested — total engine cycle rows collected so far</w:t>
      </w:r>
    </w:p>
    <w:p>
      <w:pPr>
        <w:spacing w:after="8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•  Last Ingestion — when the most recent batch arrived (every 5 min)</w:t>
      </w:r>
    </w:p>
    <w:p>
      <w:pPr>
        <w:spacing w:after="8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•  Model Version — MLflow run ID of the active model</w:t>
      </w:r>
    </w:p>
    <w:p>
      <w:pPr>
        <w:spacing w:after="8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•  Anomaly Rate (24h) — % of recent checks flagged as anomalies</w:t>
      </w:r>
    </w:p>
    <w:p>
      <w:pPr>
        <w:pStyle w:val="Heading2"/>
      </w:pPr>
      <w:r>
        <w:rPr>
          <w:rFonts w:ascii="Arial" w:cs="Arial" w:eastAsia="Arial" w:hAnsi="Arial"/>
        </w:rPr>
        <w:t xml:space="preserve">Latest Anomaly Check (middle)</w:t>
      </w:r>
    </w:p>
    <w:p>
      <w:pPr>
        <w:spacing w:after="8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•  Severity — NORMAL, LOW, or HIGH</w:t>
      </w:r>
    </w:p>
    <w:p>
      <w:pPr>
        <w:spacing w:after="8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•  Reconstruction Score — model's anomaly score (higher = more unusual)</w:t>
      </w:r>
    </w:p>
    <w:p>
      <w:pPr>
        <w:spacing w:after="8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•  Threshold — cut-off value; scores above this trigger an alert</w:t>
      </w:r>
    </w:p>
    <w:p>
      <w:pPr>
        <w:pStyle w:val="Heading2"/>
      </w:pPr>
      <w:r>
        <w:rPr>
          <w:rFonts w:ascii="Arial" w:cs="Arial" w:eastAsia="Arial" w:hAnsi="Arial"/>
        </w:rPr>
        <w:t xml:space="preserve">Anomaly History Table (bottom)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Recent results: timestamp, engine ID, cycle, score, severity. Most recent at top.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4. Severity Levels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2800"/>
        <w:gridCol w:w="35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Colour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 matches training data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 required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Yellow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Minor deviation detected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 closely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Significant deviation detected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Investigate immediately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 a HIGH alert: note the engine ID and cycle, review neighbouring cycles for trend, contact your engineering team with the engine ID, cycle, and reconstruction score.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5. ML Pipeline Page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Click ML Pipeline in the nav bar. Shows live ingestion stats and model version.</w:t>
      </w:r>
    </w:p>
    <w:p>
      <w:pPr>
        <w:spacing w:after="8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•  Open MLflow UI (http://localhost:5001) — training runs, metrics, registered models</w:t>
      </w:r>
    </w:p>
    <w:p>
      <w:pPr>
        <w:spacing w:after="80"/>
        <w:ind w:left="480" w:hanging="240"/>
      </w:pPr>
      <w:r>
        <w:rPr>
          <w:rFonts w:ascii="Arial" w:cs="Arial" w:eastAsia="Arial" w:hAnsi="Arial"/>
          <w:sz w:val="22"/>
          <w:szCs w:val="22"/>
        </w:rPr>
        <w:t xml:space="preserve">•  Open Airflow UI (http://localhost:8080) — ingest_nasa_cmapss DAG status. The train_lstm_autoencoder DAG can be triggered manually here to retrain the model; the dashboard reflects the new version automatically once complete.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6. Grafana Monitoring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Go to http://localhost:3000 (admin / admin) → Dashboards → Anomaly Detection. Shows inference request rate, latency, anomaly counts by severity, and reconstruction error over time.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7. FAQ</w:t>
      </w:r>
    </w:p>
    <w:p>
      <w:pPr>
        <w:pStyle w:val="Heading2"/>
      </w:pPr>
      <w:r>
        <w:rPr>
          <w:rFonts w:ascii="Arial" w:cs="Arial" w:eastAsia="Arial" w:hAnsi="Arial"/>
        </w:rPr>
        <w:t xml:space="preserve">How often does the system check?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Airflow ingests 10 rows from test_FD001.txt every 5 minutes. Each /predict call checks one 30-cycle window.</w:t>
      </w:r>
    </w:p>
    <w:p>
      <w:pPr>
        <w:pStyle w:val="Heading2"/>
      </w:pPr>
      <w:r>
        <w:rPr>
          <w:rFonts w:ascii="Arial" w:cs="Arial" w:eastAsia="Arial" w:hAnsi="Arial"/>
        </w:rPr>
        <w:t xml:space="preserve">What is the Reconstruction Score?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Mean squared error between the sensor window and the model's reconstruction. Near 0 = normal; high = unusual pattern.</w:t>
      </w:r>
    </w:p>
    <w:p>
      <w:pPr>
        <w:pStyle w:val="Heading2"/>
      </w:pPr>
      <w:r>
        <w:rPr>
          <w:rFonts w:ascii="Arial" w:cs="Arial" w:eastAsia="Arial" w:hAnsi="Arial"/>
        </w:rPr>
        <w:t xml:space="preserve">What is the threshold?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Set at the 95th percentile of healthy training reconstruction errors — so ~5% of normal windows may trigger a LOW alert. LOW = 1–2× threshold; HIGH = &gt;2× threshold.</w:t>
      </w:r>
    </w:p>
    <w:p>
      <w:pPr>
        <w:pStyle w:val="Heading2"/>
      </w:pPr>
      <w:r>
        <w:rPr>
          <w:rFonts w:ascii="Arial" w:cs="Arial" w:eastAsia="Arial" w:hAnsi="Arial"/>
        </w:rPr>
        <w:t xml:space="preserve">Dashboard shows backend offline?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Check containers: docker compose ps</w:t>
      </w:r>
    </w:p>
    <w:p>
      <w:pPr>
        <w:pStyle w:val="Heading2"/>
      </w:pPr>
      <w:r>
        <w:rPr>
          <w:rFonts w:ascii="Arial" w:cs="Arial" w:eastAsia="Arial" w:hAnsi="Arial"/>
        </w:rPr>
        <w:t xml:space="preserve">Anomaly rate stuck at 0%?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Expected for early (healthy) engine cycles. Rate increases as the pipeline progresses to higher cycle numbers. All data stays local — nothing is sent externally.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8.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http://localhost:5000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dashboard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http://localhost:5000/pipeline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 pipeline 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http://localhost:5000/manual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user manual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http://localhost:3000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Grafana (admin/admin)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http://localhost:5001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MLflow experiment tracking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http://localhost:8000/docs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Swagger UI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http://localhost:8080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Airflow DAG monitor (admin/admin)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http://localhost:9090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Prometheus metrics browser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/predict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Anomaly detection on 30×14 window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/drift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Per-sensor drift check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/health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load 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/ready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Readiness probe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/pipeline/status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 stats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/metrics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Prometheus scrape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/reload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Hot-swap model after retraining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2026-04-28T09:13:31.375Z</dcterms:created>
  <dcterms:modified xsi:type="dcterms:W3CDTF">2026-04-28T09:13:31.376Z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