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9B" w:rsidRPr="00A6479B" w:rsidRDefault="00A6479B" w:rsidP="00A6479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A6479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Основные понятия в области оценки соответствия и сертификации</w:t>
      </w:r>
    </w:p>
    <w:p w:rsid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Современный этап развития сертификации в РФ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характеризуется тем, что создается объективная система </w:t>
      </w: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оценки соответствия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которую ФЗ «О техническом регулирова</w:t>
      </w:r>
      <w:bookmarkStart w:id="0" w:name="_GoBack"/>
      <w:bookmarkEnd w:id="0"/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нии» определяет, как прямое или косвенное определение соблюдения требований к объекту технического регулирования. Оценка соответствия содержит следующие основные формы: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подтверждение соответствия;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испытания;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аккредитация;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государственный контроль (надзор);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регистрация;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приемка и ввод в эксплуатацию объектов и иные формы.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оценке соответствия участвуют три стороны. Участвующие стороны представляют, как правило, интересы поставщиков (первая сторона) и покупателей (вторая сторона). Третья сторона – лицо или орган, признаваемые независимыми от участвующих сторон в рассматриваемом вопросе. Термин «оценка соответствия» является наиболее точным и универсальным, поскольку сертификация как процедура подтверждения соответствия «третьей стороной» перестала быть основной формой этой деятельности. Термин «оценка соответствия» (вместо термина «сертификация») применяется в Законе «О защите прав потребителей», ФЗ «О качестве и безопасности пищевых продуктов» и других законодательных актах.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Подтверждение соответствия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документальное удостоверение соответствия продукции или иных объектов, процессов производства, эксплуатации, хранения, перевозки, реализации и утилизации, выполнения работ или оказания услуг требованиям технических регламентов, положениям стандартов или условиям договоров.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соответствия может осуществляться в обязательной и добровольной формах. Подтверждение соответствия в обязательной форме осуществляется в форме </w:t>
      </w: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обязательной сертификации 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 </w:t>
      </w: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декларирования соответствия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(принятие декларации о соответствии); подтверждение соответствия в добровольной форме осуществляется в форме </w:t>
      </w: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добровольной сертификации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Декларирование соответствия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форма подтверждения соответствия продукции требованиям технических регламентов. В отличие от сертификации декларирование осуществляется первой стороной, как правило, изготовителем.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Декларация о соответствии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документ, удостоверяющий соответствие выпускаемой в обращение продукции требованиям технических регламентов.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Заявитель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физическое или юридическое лицо, осуществляющее обязательное подтверждение соответствия.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Сертификация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форма осуществления органом по сертификации подтверждения соответствия объектов требованиям технических регламентов, положениям стандартов или условиям договоров. При этой форме подтверждение осуществляется третьей стороной – органом по сертификации.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Объекты подтверждения соответствия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ФЗ «О техническом регулировании» </w:t>
      </w:r>
      <w:r w:rsidRPr="00A647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объектами добровольного подтверждения соответствия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(добровольной сертификации) являются процессы производства, эксплуатации, хранения, перевозки, реализации и утилизации, а также продукция, работы, услуги и другие объекты, в отношении которых требования устанавливаются стандартами, системами добровольной сертификации и договорами.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Объектами обязательного подтверждения соответствия может быть только продукция, выпускаемая в обращение на территории РФ. Необходимым условием отнесения объектов к объектам обязательной сертификации являются: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наличие к этим объектам однозначно понимаемых требований, подлежащих подтверждению;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наличие методов контроля соблюдения требований, подлежащих подтверждению, обеспечивающих необходимую достоверность, </w:t>
      </w:r>
      <w:proofErr w:type="spellStart"/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воспроизводимость</w:t>
      </w:r>
      <w:proofErr w:type="spellEnd"/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повторяемость результатов контроля;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наличие необходимости подтверждения соответствия данного объекта независимым </w:t>
      </w:r>
      <w:proofErr w:type="gramStart"/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органом(</w:t>
      </w:r>
      <w:proofErr w:type="gramEnd"/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товаров в связи с возможностью возникновения конфликтных ситуаций при их реализации).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Роль сертификации в повышении качества продукции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условиях рыночной экономики качеству продукции уделяется все большее внимание. Качество продукции характеризуется многими показателями: показатели технического назначения, надежности, экономного использования ресурсов, эргономические, эстетические, экологические, безопасности. Некоторые из них, такие как показатели безопасности, а также экологические, эргономические, относятся к </w:t>
      </w: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обязательным требованиям при производстве и эксплуатации продукции и учитываются при обязательной форме подтверждения соответствия.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Добровольной сертификации подлежит продукция, на которую отсутствуют обязательные к выполнению требования, либо продукция, которая может сертифицироваться на соответствие другим требованиям (не обязательным к выполнению). В результате добровольной сертификации ограничивается доступ на рынок некачественной продукции за счет проверки показателей надежности, экономичности и т.д.</w:t>
      </w:r>
    </w:p>
    <w:p w:rsidR="00A6479B" w:rsidRPr="00A6479B" w:rsidRDefault="00A6479B" w:rsidP="00A6479B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47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объектам добровольной сертификации относятся системы менеджмента качества, которые сертифицируются на соответствие международным стандартам серии ИСО 9000. В данных стандартах установлены требования к процессам управления качеством на предприятиях, заложены такие показатели как анализ и улучшение качества, оптимальное управление ресурсами для достижения целей по качеству, ответственность руководства за управлением качеством. Сертификация систем менеджмента качества приводит к улучшению качества продукции, удовлетворению требований потребителя, повышению ответственности за качество и т.д.</w:t>
      </w: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A6479B" w:rsidRDefault="00A6479B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424242"/>
          <w:sz w:val="40"/>
          <w:szCs w:val="40"/>
        </w:rPr>
      </w:pPr>
    </w:p>
    <w:p w:rsidR="00FA068C" w:rsidRPr="00A6479B" w:rsidRDefault="00FA068C" w:rsidP="004B0D4B">
      <w:pPr>
        <w:pStyle w:val="a3"/>
        <w:shd w:val="clear" w:color="auto" w:fill="FFFFFF"/>
        <w:spacing w:before="225" w:beforeAutospacing="0" w:line="288" w:lineRule="atLeast"/>
        <w:ind w:left="-1276" w:right="-426"/>
        <w:rPr>
          <w:b/>
          <w:color w:val="000000" w:themeColor="text1"/>
          <w:sz w:val="40"/>
          <w:szCs w:val="40"/>
        </w:rPr>
      </w:pPr>
      <w:r w:rsidRPr="00A6479B">
        <w:rPr>
          <w:b/>
          <w:color w:val="000000" w:themeColor="text1"/>
          <w:sz w:val="40"/>
          <w:szCs w:val="40"/>
        </w:rPr>
        <w:t xml:space="preserve">Сертификация является одним из видов </w:t>
      </w:r>
      <w:r w:rsidR="004B0D4B" w:rsidRPr="00A6479B">
        <w:rPr>
          <w:b/>
          <w:color w:val="000000" w:themeColor="text1"/>
          <w:sz w:val="40"/>
          <w:szCs w:val="40"/>
        </w:rPr>
        <w:t>деятельности,</w:t>
      </w:r>
      <w:r w:rsidRPr="00A6479B">
        <w:rPr>
          <w:b/>
          <w:color w:val="000000" w:themeColor="text1"/>
          <w:sz w:val="40"/>
          <w:szCs w:val="40"/>
        </w:rPr>
        <w:t xml:space="preserve"> по оценке соответствия. Ниже рассматриваются термины и определения в этой области.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Аккредитация</w:t>
      </w:r>
      <w:r w:rsidRPr="00A6479B">
        <w:rPr>
          <w:color w:val="000000" w:themeColor="text1"/>
          <w:sz w:val="28"/>
          <w:szCs w:val="28"/>
        </w:rPr>
        <w:t>- официальное признание органом по аккредитации компетентности физического или юридического лица выполнять работы в определенной области оценки соответствия.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Соответствие</w:t>
      </w:r>
      <w:r w:rsidRPr="00A6479B">
        <w:rPr>
          <w:i/>
          <w:iCs/>
          <w:color w:val="000000" w:themeColor="text1"/>
          <w:sz w:val="28"/>
          <w:szCs w:val="28"/>
        </w:rPr>
        <w:t> </w:t>
      </w:r>
      <w:r w:rsidRPr="00A6479B">
        <w:rPr>
          <w:color w:val="000000" w:themeColor="text1"/>
          <w:sz w:val="28"/>
          <w:szCs w:val="28"/>
        </w:rPr>
        <w:t>- это соблюдение установленных требований к продукции, процессу или услуге.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Оценка соответствия</w:t>
      </w:r>
      <w:r w:rsidRPr="00A6479B">
        <w:rPr>
          <w:color w:val="000000" w:themeColor="text1"/>
          <w:sz w:val="28"/>
          <w:szCs w:val="28"/>
        </w:rPr>
        <w:t> - прямое или косвенное определение соблюдения требований, предъявляемых к объекту. Типичным примером деятельности по оценке соответствия являются: подтверждение соответствия, регистрация, аккредитация, контроль и надзор и пр. В оценке соответствия участвуют три стороны. Первая сторона представляет интересы поставщиков, вторая сторона - интересы покупателей, третья сторона - лицо или орган признаваемые независимыми от участвующих сторон в рассматриваемом вопросе.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Подтверждение соответствия</w:t>
      </w:r>
      <w:r w:rsidRPr="00A6479B">
        <w:rPr>
          <w:color w:val="000000" w:themeColor="text1"/>
          <w:sz w:val="28"/>
          <w:szCs w:val="28"/>
        </w:rPr>
        <w:t> - документальное удостоверение соответствия продукции или иных объектов, процессов проектирования (включая изыскания), производства, строительства, монтажа, наладки, эксплуатации, хранения, перевозки, реализации и утилизации, выполнения работ или оказания услуг требованиям технических регламентов, положениям стандартов, сводов правил или условиям договоров.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Форма подтверждения соответствия</w:t>
      </w:r>
      <w:r w:rsidRPr="00A6479B">
        <w:rPr>
          <w:color w:val="000000" w:themeColor="text1"/>
          <w:sz w:val="28"/>
          <w:szCs w:val="28"/>
        </w:rPr>
        <w:t> - определенный порядок документального удостоверения соответствия продукции или иных объектов, процессов проектирования (включая изыскания), производства, строительства, монтажа, наладки, эксплуатации, хранения, реализации и утилизации, выполнения работ или оказания услуг требованиям технических регламентов, положениям стандартов или условиям договоров.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Продукция</w:t>
      </w:r>
      <w:r w:rsidRPr="00A6479B">
        <w:rPr>
          <w:color w:val="000000" w:themeColor="text1"/>
          <w:sz w:val="28"/>
          <w:szCs w:val="28"/>
        </w:rPr>
        <w:t>- результат деятельности, представленный в материально-вещественной форме и предназначенный для дальнейшего использования в хозяйственных и иных целях.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Идентификация продукции</w:t>
      </w:r>
      <w:r w:rsidRPr="00A6479B">
        <w:rPr>
          <w:color w:val="000000" w:themeColor="text1"/>
          <w:sz w:val="28"/>
          <w:szCs w:val="28"/>
        </w:rPr>
        <w:t> - установление тождественности характеристик продукции ее существенным признакам.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lastRenderedPageBreak/>
        <w:t>Заявитель </w:t>
      </w:r>
      <w:r w:rsidRPr="00A6479B">
        <w:rPr>
          <w:color w:val="000000" w:themeColor="text1"/>
          <w:sz w:val="28"/>
          <w:szCs w:val="28"/>
        </w:rPr>
        <w:t>- физическое или юридическое лицо, которое для подтверждения соответствия принимает декларацию о соответствии или обращается за получением сертификата соответствия, получает сертификат соответствия.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Орган по сертификации</w:t>
      </w:r>
      <w:r w:rsidRPr="00A6479B">
        <w:rPr>
          <w:color w:val="000000" w:themeColor="text1"/>
          <w:sz w:val="28"/>
          <w:szCs w:val="28"/>
        </w:rPr>
        <w:t> - юридическое лицо или индивидуальный предприниматель, аккредитованные в установленном порядке для выполнения работ по сертификации.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Сертификация</w:t>
      </w:r>
      <w:r w:rsidRPr="00A6479B">
        <w:rPr>
          <w:color w:val="000000" w:themeColor="text1"/>
          <w:sz w:val="28"/>
          <w:szCs w:val="28"/>
        </w:rPr>
        <w:t> - форма осуществляемого органом по сертификации подтверждения соответствия объектов требованиям технических регламентов, положениям стандартов, сводов правил или условиям договоров.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Декларирование соответствия</w:t>
      </w:r>
      <w:r w:rsidRPr="00A6479B">
        <w:rPr>
          <w:color w:val="000000" w:themeColor="text1"/>
          <w:sz w:val="28"/>
          <w:szCs w:val="28"/>
        </w:rPr>
        <w:t> - форма подтверждения соответствия продукции требованиям технических регламентов. В отличие от сертификации декларирование осуществляется первой стороной (изготовителем).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Сертификат соответствия</w:t>
      </w:r>
      <w:r w:rsidRPr="00A6479B">
        <w:rPr>
          <w:color w:val="000000" w:themeColor="text1"/>
          <w:sz w:val="28"/>
          <w:szCs w:val="28"/>
        </w:rPr>
        <w:t> - документ, удостоверяющий соответствие объекта требованиям технических регламентов, положениям стандартов, сводов правил и условиям договоров.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Декларация о соответствии</w:t>
      </w:r>
      <w:r w:rsidRPr="00A6479B">
        <w:rPr>
          <w:color w:val="000000" w:themeColor="text1"/>
          <w:sz w:val="28"/>
          <w:szCs w:val="28"/>
        </w:rPr>
        <w:t> - документ, удостоверяющий соответствие выпускаемой в обращение продукции требованиям технических регламентов. До вступления в силу соответствующих технических регламентов декларирование будет подтверждать соответствие обязательным требованиям стандартов.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Знак соответствия</w:t>
      </w:r>
      <w:r w:rsidRPr="00A6479B">
        <w:rPr>
          <w:i/>
          <w:iCs/>
          <w:color w:val="000000" w:themeColor="text1"/>
          <w:sz w:val="28"/>
          <w:szCs w:val="28"/>
        </w:rPr>
        <w:t> </w:t>
      </w:r>
      <w:r w:rsidRPr="00A6479B">
        <w:rPr>
          <w:color w:val="000000" w:themeColor="text1"/>
          <w:sz w:val="28"/>
          <w:szCs w:val="28"/>
        </w:rPr>
        <w:t>- обозначение, служащее для информирования приобретателей о соответствии объекта сертификации требованиям системы добровольной сертификации или национальному стандарту.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Знак обращения на рынке</w:t>
      </w:r>
      <w:r w:rsidRPr="00A6479B">
        <w:rPr>
          <w:color w:val="000000" w:themeColor="text1"/>
          <w:sz w:val="28"/>
          <w:szCs w:val="28"/>
        </w:rPr>
        <w:t> - обозначение, служащее для информирования приобретателей о соответствии выпускаемой в обращение продукции требованиям технических регламентов.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Система сертификации</w:t>
      </w:r>
      <w:r w:rsidRPr="00A6479B">
        <w:rPr>
          <w:color w:val="000000" w:themeColor="text1"/>
          <w:sz w:val="28"/>
          <w:szCs w:val="28"/>
        </w:rPr>
        <w:t> - совокупность правил выполнения работ по сертификации, ее участников и правил функционирования системы сертификации в целом.</w:t>
      </w:r>
    </w:p>
    <w:p w:rsidR="00FA068C" w:rsidRPr="00A6479B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color w:val="000000" w:themeColor="text1"/>
          <w:sz w:val="28"/>
          <w:szCs w:val="28"/>
        </w:rPr>
      </w:pPr>
      <w:r w:rsidRPr="00A6479B">
        <w:rPr>
          <w:rStyle w:val="a4"/>
          <w:color w:val="000000" w:themeColor="text1"/>
          <w:sz w:val="28"/>
          <w:szCs w:val="28"/>
        </w:rPr>
        <w:t>Схема подтверждения соответствия</w:t>
      </w:r>
      <w:r w:rsidRPr="00A6479B">
        <w:rPr>
          <w:color w:val="000000" w:themeColor="text1"/>
          <w:sz w:val="28"/>
          <w:szCs w:val="28"/>
        </w:rPr>
        <w:t> - перечень действий участников подтверждения соответствия, результаты которых рассматриваются ими в качестве доказательств соответствия продукции и иных объектов установленным требованиям.</w:t>
      </w: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Pr="00EA366C" w:rsidRDefault="00FA068C" w:rsidP="00FA068C">
      <w:pPr>
        <w:pStyle w:val="a3"/>
        <w:shd w:val="clear" w:color="auto" w:fill="FFFFFF"/>
        <w:spacing w:before="225" w:beforeAutospacing="0" w:line="288" w:lineRule="atLeast"/>
        <w:ind w:left="-1276" w:right="525"/>
        <w:rPr>
          <w:rStyle w:val="a4"/>
          <w:color w:val="424242"/>
          <w:sz w:val="28"/>
          <w:szCs w:val="28"/>
        </w:rPr>
      </w:pPr>
    </w:p>
    <w:p w:rsidR="00FA068C" w:rsidRDefault="00FA068C"/>
    <w:sectPr w:rsidR="00FA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BB"/>
    <w:rsid w:val="00163BBB"/>
    <w:rsid w:val="004B0D4B"/>
    <w:rsid w:val="004C63F6"/>
    <w:rsid w:val="00A6479B"/>
    <w:rsid w:val="00B83D7C"/>
    <w:rsid w:val="00B86BB3"/>
    <w:rsid w:val="00EA366C"/>
    <w:rsid w:val="00F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DF5B"/>
  <w15:chartTrackingRefBased/>
  <w15:docId w15:val="{D516EFEF-D9D1-468F-B887-959BAE8E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4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068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647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4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64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69-73</dc:creator>
  <cp:keywords/>
  <dc:description/>
  <cp:lastModifiedBy>69-73</cp:lastModifiedBy>
  <cp:revision>5</cp:revision>
  <dcterms:created xsi:type="dcterms:W3CDTF">2020-09-29T09:30:00Z</dcterms:created>
  <dcterms:modified xsi:type="dcterms:W3CDTF">2020-10-15T09:31:00Z</dcterms:modified>
</cp:coreProperties>
</file>