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кибербезопасности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спец. курс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 </w:t>
      </w:r>
      <w:r>
        <w:t xml:space="preserve">и получить сертификат.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76" w:name="раздел-4-криптография-на-практик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Раздел 4:</w:t>
      </w:r>
      <w:r>
        <w:t xml:space="preserve"> </w:t>
      </w:r>
      <w:r>
        <w:t xml:space="preserve">“</w:t>
      </w:r>
      <w:r>
        <w:t xml:space="preserve">Криптография на практике</w:t>
      </w:r>
      <w:r>
        <w:t xml:space="preserve">”</w:t>
      </w:r>
    </w:p>
    <w:bookmarkStart w:id="36" w:name="введение-в-криптографию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(4.1)</w:t>
      </w:r>
      <w:r>
        <w:t xml:space="preserve"> </w:t>
      </w:r>
      <w:r>
        <w:t xml:space="preserve">“</w:t>
      </w:r>
      <w:r>
        <w:t xml:space="preserve">Введение в криптографию</w:t>
      </w:r>
      <w:r>
        <w:t xml:space="preserve">”</w:t>
      </w:r>
    </w:p>
    <w:p>
      <w:pPr>
        <w:pStyle w:val="CaptionedFigure"/>
      </w:pPr>
      <w:r>
        <w:drawing>
          <wp:inline>
            <wp:extent cx="5867400" cy="3255845"/>
            <wp:effectExtent b="0" l="0" r="0" t="0"/>
            <wp:docPr descr="Рис. 4.1 Раздел (4.1) – Вопрос 1" title="" id="22" name="Picture"/>
            <a:graphic>
              <a:graphicData uri="http://schemas.openxmlformats.org/drawingml/2006/picture">
                <pic:pic>
                  <pic:nvPicPr>
                    <pic:cNvPr descr="image/4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5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Рис. 4.1 Раздел (4.1) – Вопрос 1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В асимметричных криптографических примитивах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Обе стороны имеют пару ключей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В асимметричной криптографии каждая сторона имеет два ключа: открытый и закрытый.</w:t>
      </w:r>
    </w:p>
    <w:p>
      <w:pPr>
        <w:pStyle w:val="CaptionedFigure"/>
      </w:pPr>
      <w:r>
        <w:drawing>
          <wp:inline>
            <wp:extent cx="5867400" cy="3247943"/>
            <wp:effectExtent b="0" l="0" r="0" t="0"/>
            <wp:docPr descr="Рис. 4.2 Раздел (4.1) – Вопрос 2" title="" id="25" name="Picture"/>
            <a:graphic>
              <a:graphicData uri="http://schemas.openxmlformats.org/drawingml/2006/picture">
                <pic:pic>
                  <pic:nvPicPr>
                    <pic:cNvPr descr="image/4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Рис. 4.2 Раздел (4.1) – Вопрос 2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Криптографическая хэш-функция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Всё верно, кроме пункта</w:t>
      </w:r>
      <w:r>
        <w:t xml:space="preserve"> </w:t>
      </w:r>
      <w:r>
        <w:t xml:space="preserve">“</w:t>
      </w:r>
      <w:r>
        <w:t xml:space="preserve">обеспечивает конфиденциальность захэшированных данных</w:t>
      </w:r>
      <w:r>
        <w:t xml:space="preserve">”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Хэш-функция обеспечивает целостность данных, но не конфиденциальность.</w:t>
      </w:r>
    </w:p>
    <w:p>
      <w:pPr>
        <w:pStyle w:val="CaptionedFigure"/>
      </w:pPr>
      <w:r>
        <w:drawing>
          <wp:inline>
            <wp:extent cx="5867400" cy="3250732"/>
            <wp:effectExtent b="0" l="0" r="0" t="0"/>
            <wp:docPr descr="Рис. 4.3 Раздел (4.1) – Вопрос 3" title="" id="28" name="Picture"/>
            <a:graphic>
              <a:graphicData uri="http://schemas.openxmlformats.org/drawingml/2006/picture">
                <pic:pic>
                  <pic:nvPicPr>
                    <pic:cNvPr descr="image/4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50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Рис. 4.3 Раздел (4.1) – Вопрос 3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К алгоритмам цифровой подписи относятся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RSA, ECDSA и ГОСТ Р 34.10-2012. SHA2— это семейство криптографических хеш- функций, а AES - это алгоритм симметричного шифрования.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Алгоритмы цифровой подписи используются для аутентификации и целостности данных.</w:t>
      </w:r>
    </w:p>
    <w:p>
      <w:pPr>
        <w:pStyle w:val="CaptionedFigure"/>
      </w:pPr>
      <w:r>
        <w:drawing>
          <wp:inline>
            <wp:extent cx="5867400" cy="3237502"/>
            <wp:effectExtent b="0" l="0" r="0" t="0"/>
            <wp:docPr descr="Рис. 4.4 Раздел (4.1) – Вопрос 4" title="" id="31" name="Picture"/>
            <a:graphic>
              <a:graphicData uri="http://schemas.openxmlformats.org/drawingml/2006/picture">
                <pic:pic>
                  <pic:nvPicPr>
                    <pic:cNvPr descr="image/4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3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Рис. 4.4 Раздел (4.1) – Вопрос 4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Код аутентификации сообщения относится к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Код аутентификации сообщения относится к симметричным примитивам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MAC (Message Authentication Code) — это симметричный примитив для аутентификации сообщений.</w:t>
      </w:r>
    </w:p>
    <w:p>
      <w:pPr>
        <w:pStyle w:val="CaptionedFigure"/>
      </w:pPr>
      <w:r>
        <w:drawing>
          <wp:inline>
            <wp:extent cx="5867400" cy="3232916"/>
            <wp:effectExtent b="0" l="0" r="0" t="0"/>
            <wp:docPr descr="Рис. 4.5 Раздел (4.1) – Вопрос 5" title="" id="34" name="Picture"/>
            <a:graphic>
              <a:graphicData uri="http://schemas.openxmlformats.org/drawingml/2006/picture">
                <pic:pic>
                  <pic:nvPicPr>
                    <pic:cNvPr descr="image/4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Рис. 4.5 Раздел (4.1) – Вопрос 5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Обмен ключам Диффи-Хэллмана - это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Обмен ключам Диффи-Хэллмана – это асимметричный примитив генерации общего секретного ключа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Диффи-Хэллман используется для безопасного обмена секретными ключами через открытые каналы.</w:t>
      </w:r>
    </w:p>
    <w:bookmarkEnd w:id="36"/>
    <w:bookmarkStart w:id="52" w:name="цифровая-подпись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(4.2)</w:t>
      </w:r>
      <w:r>
        <w:t xml:space="preserve"> </w:t>
      </w:r>
      <w:r>
        <w:t xml:space="preserve">“</w:t>
      </w:r>
      <w:r>
        <w:t xml:space="preserve">Цифровая подпись</w:t>
      </w:r>
      <w:r>
        <w:t xml:space="preserve">”</w:t>
      </w:r>
    </w:p>
    <w:p>
      <w:pPr>
        <w:pStyle w:val="CaptionedFigure"/>
      </w:pPr>
      <w:r>
        <w:drawing>
          <wp:inline>
            <wp:extent cx="5867400" cy="3244381"/>
            <wp:effectExtent b="0" l="0" r="0" t="0"/>
            <wp:docPr descr="Рис. 4.6 Раздел (4.2) – Вопрос 1" title="" id="38" name="Picture"/>
            <a:graphic>
              <a:graphicData uri="http://schemas.openxmlformats.org/drawingml/2006/picture">
                <pic:pic>
                  <pic:nvPicPr>
                    <pic:cNvPr descr="image/4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Рис. 4.6 Раздел (4.2) – Вопрос 1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Протокол электронной цифровой подписи относится к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Он относится к протоколам с публичным (или открытым) ключом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Протоколы электронной цифровой подписи используют открытые ключи для проверки подписи.</w:t>
      </w:r>
    </w:p>
    <w:p>
      <w:pPr>
        <w:pStyle w:val="CaptionedFigure"/>
      </w:pPr>
      <w:r>
        <w:drawing>
          <wp:inline>
            <wp:extent cx="5867400" cy="3242088"/>
            <wp:effectExtent b="0" l="0" r="0" t="0"/>
            <wp:docPr descr="Рис. 4.7 Раздел (4.2) – Вопрос 3" title="" id="41" name="Picture"/>
            <a:graphic>
              <a:graphicData uri="http://schemas.openxmlformats.org/drawingml/2006/picture">
                <pic:pic>
                  <pic:nvPicPr>
                    <pic:cNvPr descr="image/4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Рис. 4.7 Раздел (4.2) – Вопрос 3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Алгоритм верификации электронной цифровой подписи требует на вход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Этот алгоритм вход требует подпись, открытый ключ, сообщение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Для верификации электронной цифровой подписи требуется подпись, соответствующий открытый ключ и сообщение.</w:t>
      </w:r>
    </w:p>
    <w:p>
      <w:pPr>
        <w:pStyle w:val="CaptionedFigure"/>
      </w:pPr>
      <w:r>
        <w:drawing>
          <wp:inline>
            <wp:extent cx="5867400" cy="3246673"/>
            <wp:effectExtent b="0" l="0" r="0" t="0"/>
            <wp:docPr descr="Рис. 4.8 Раздел (4.2) – Вопрос 3" title="" id="44" name="Picture"/>
            <a:graphic>
              <a:graphicData uri="http://schemas.openxmlformats.org/drawingml/2006/picture">
                <pic:pic>
                  <pic:nvPicPr>
                    <pic:cNvPr descr="image/4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Рис. 4.8 Раздел (4.2) – Вопрос 3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Электронная цифровая подпись не обеспечивает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Электронная цифровая подпись не может обеспечить конфиденциальность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Цифровая подпись обеспечивает аутентификацию и целостность, но не конфиденциальность.</w:t>
      </w:r>
    </w:p>
    <w:p>
      <w:pPr>
        <w:pStyle w:val="CaptionedFigure"/>
      </w:pPr>
      <w:r>
        <w:drawing>
          <wp:inline>
            <wp:extent cx="5867400" cy="3248966"/>
            <wp:effectExtent b="0" l="0" r="0" t="0"/>
            <wp:docPr descr="Рис. 4.9 Раздел (4.2) – Вопрос 4" title="" id="47" name="Picture"/>
            <a:graphic>
              <a:graphicData uri="http://schemas.openxmlformats.org/drawingml/2006/picture">
                <pic:pic>
                  <pic:nvPicPr>
                    <pic:cNvPr descr="image/4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8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Рис. 4.9 Раздел (4.2) – Вопрос 4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Какой тип сертификата электронной подписи понадобится для отправки налоговой отчетности в ФНС?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ФНС требует сертификат электронной подписи с усиленной квалификацией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Для отправки налоговой отчетности в ФНС требуется сертификат с усиленной квалификацией.</w:t>
      </w:r>
    </w:p>
    <w:p>
      <w:pPr>
        <w:pStyle w:val="CaptionedFigure"/>
      </w:pPr>
      <w:r>
        <w:drawing>
          <wp:inline>
            <wp:extent cx="5867400" cy="3244381"/>
            <wp:effectExtent b="0" l="0" r="0" t="0"/>
            <wp:docPr descr="Рис. 4.10 Раздел (4.2) – Вопрос 6" title="" id="50" name="Picture"/>
            <a:graphic>
              <a:graphicData uri="http://schemas.openxmlformats.org/drawingml/2006/picture">
                <pic:pic>
                  <pic:nvPicPr>
                    <pic:cNvPr descr="image/4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Рис. 4.10 Раздел (4.2) – Вопрос 6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В какой организации вы можете получить квалифицированный сертификат ключа проверки электронной подписи?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Сертификаты ключа проверки электронной подписи выдаются в сертификационном центре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Квалифицированные сертификаты ключа проверки электронной подписи выдаются в специальных сертификационных центрах.</w:t>
      </w:r>
    </w:p>
    <w:bookmarkEnd w:id="52"/>
    <w:bookmarkStart w:id="62" w:name="электронные-платежи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(4.3)</w:t>
      </w:r>
      <w:r>
        <w:t xml:space="preserve"> </w:t>
      </w:r>
      <w:r>
        <w:t xml:space="preserve">“</w:t>
      </w:r>
      <w:r>
        <w:t xml:space="preserve">Электронные платежи</w:t>
      </w:r>
      <w:r>
        <w:t xml:space="preserve">”</w:t>
      </w:r>
    </w:p>
    <w:p>
      <w:pPr>
        <w:pStyle w:val="CaptionedFigure"/>
      </w:pPr>
      <w:r>
        <w:drawing>
          <wp:inline>
            <wp:extent cx="5867400" cy="3235209"/>
            <wp:effectExtent b="0" l="0" r="0" t="0"/>
            <wp:docPr descr="Рис. 4.11 Раздел (4.3) – Вопрос 1" title="" id="54" name="Picture"/>
            <a:graphic>
              <a:graphicData uri="http://schemas.openxmlformats.org/drawingml/2006/picture">
                <pic:pic>
                  <pic:nvPicPr>
                    <pic:cNvPr descr="image/4.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3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Рис. 4.11 Раздел (4.3) – Вопрос 1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Выберите из списка все платежные системы.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МИР и MasterCard являются платежными системами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МИР и MasterCard представляют собой платежные системы, через которые можно осуществлять денежные переводы и платежи.</w:t>
      </w:r>
    </w:p>
    <w:p>
      <w:pPr>
        <w:pStyle w:val="CaptionedFigure"/>
      </w:pPr>
      <w:r>
        <w:drawing>
          <wp:inline>
            <wp:extent cx="5867400" cy="3243355"/>
            <wp:effectExtent b="0" l="0" r="0" t="0"/>
            <wp:docPr descr="Рис. 4.12 Раздел (4.3) – Вопрос 2" title="" id="57" name="Picture"/>
            <a:graphic>
              <a:graphicData uri="http://schemas.openxmlformats.org/drawingml/2006/picture">
                <pic:pic>
                  <pic:nvPicPr>
                    <pic:cNvPr descr="image/4.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Рис. 4.12 Раздел (4.3) – Вопрос 2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Примером многофакторной аутентификации является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К многофакторной аутентификации относятся: проверка пароля, код в sms сообщении и отпечаток пальца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Многофакторная аутентификация включает в себя несколько методов проверки личности, таких как пароль, SMS-коды и биометрические данные.</w:t>
      </w:r>
    </w:p>
    <w:p>
      <w:pPr>
        <w:pStyle w:val="CaptionedFigure"/>
      </w:pPr>
      <w:r>
        <w:drawing>
          <wp:inline>
            <wp:extent cx="5867400" cy="3248966"/>
            <wp:effectExtent b="0" l="0" r="0" t="0"/>
            <wp:docPr descr="Рис. 4.13 Раздел (4.3) – Вопрос 3" title="" id="60" name="Picture"/>
            <a:graphic>
              <a:graphicData uri="http://schemas.openxmlformats.org/drawingml/2006/picture">
                <pic:pic>
                  <pic:nvPicPr>
                    <pic:cNvPr descr="image/4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8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Рис. 4.13 Раздел (4.3) – Вопрос 3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При онлайн платежах сегодня используется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Онлайн платежи используют многофакторную аутентификацию покупателя перед банком-эмитентом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Для повышения безопасности онлайн платежей часто требуется многофакторная аутентификация клиента перед банком-эмитентом.</w:t>
      </w:r>
    </w:p>
    <w:bookmarkEnd w:id="62"/>
    <w:bookmarkStart w:id="75" w:name="блокчейн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(4.4)</w:t>
      </w:r>
      <w:r>
        <w:t xml:space="preserve"> </w:t>
      </w:r>
      <w:r>
        <w:t xml:space="preserve">“</w:t>
      </w:r>
      <w:r>
        <w:t xml:space="preserve">Блокчейн</w:t>
      </w:r>
      <w:r>
        <w:t xml:space="preserve">”</w:t>
      </w:r>
    </w:p>
    <w:p>
      <w:pPr>
        <w:pStyle w:val="CaptionedFigure"/>
      </w:pPr>
      <w:r>
        <w:drawing>
          <wp:inline>
            <wp:extent cx="5867400" cy="3251259"/>
            <wp:effectExtent b="0" l="0" r="0" t="0"/>
            <wp:docPr descr="Рис. 4.14 Раздел (4.4) – Вопрос 1" title="" id="64" name="Picture"/>
            <a:graphic>
              <a:graphicData uri="http://schemas.openxmlformats.org/drawingml/2006/picture">
                <pic:pic>
                  <pic:nvPicPr>
                    <pic:cNvPr descr="image/4.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5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Рис. 4.14 Раздел (4.4) – Вопрос 1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Какое свойство криптографической хэш-функции используется в доказательстве работы?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Используется сложность нахождения прообраза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В доказательстве работы используется свойство хэш-функции, обеспечивающее сложность нахождения прообраза.</w:t>
      </w:r>
    </w:p>
    <w:p>
      <w:pPr>
        <w:pStyle w:val="CaptionedFigure"/>
      </w:pPr>
      <w:r>
        <w:drawing>
          <wp:inline>
            <wp:extent cx="5867400" cy="3246673"/>
            <wp:effectExtent b="0" l="0" r="0" t="0"/>
            <wp:docPr descr="Рис. 4.15 Раздел (4.4) – Вопрос 2" title="" id="67" name="Picture"/>
            <a:graphic>
              <a:graphicData uri="http://schemas.openxmlformats.org/drawingml/2006/picture">
                <pic:pic>
                  <pic:nvPicPr>
                    <pic:cNvPr descr="image/4.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Рис. 4.15 Раздел (4.4) – Вопрос 2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Консенсус в некоторых системах блокчейн обладает свойствами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Обладает всеми перечисленными свойствами</w:t>
      </w:r>
    </w:p>
    <w:p>
      <w:pPr>
        <w:pStyle w:val="BodyText"/>
      </w:pPr>
      <w:r>
        <w:rPr>
          <w:i/>
          <w:iCs/>
        </w:rPr>
        <w:t xml:space="preserve">Пояснение:</w:t>
      </w:r>
      <w:r>
        <w:t xml:space="preserve"> </w:t>
      </w:r>
      <w:r>
        <w:t xml:space="preserve">Консенсус в блокчейне может обладать свойствами, такими как надежность, децентрализация и устойчивость к взлому.</w:t>
      </w:r>
    </w:p>
    <w:p>
      <w:pPr>
        <w:pStyle w:val="CaptionedFigure"/>
      </w:pPr>
      <w:r>
        <w:drawing>
          <wp:inline>
            <wp:extent cx="5867400" cy="3255845"/>
            <wp:effectExtent b="0" l="0" r="0" t="0"/>
            <wp:docPr descr="Рис. 4.16 Раздел (4.4) – Вопрос 4" title="" id="70" name="Picture"/>
            <a:graphic>
              <a:graphicData uri="http://schemas.openxmlformats.org/drawingml/2006/picture">
                <pic:pic>
                  <pic:nvPicPr>
                    <pic:cNvPr descr="image/4.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5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Рис. 4.16 Раздел (4.4) – Вопрос 4</w:t>
      </w:r>
    </w:p>
    <w:p>
      <w:pPr>
        <w:pStyle w:val="BodyText"/>
      </w:pPr>
      <w:r>
        <w:rPr>
          <w:b/>
          <w:bCs/>
        </w:rPr>
        <w:t xml:space="preserve">Вопрос:</w:t>
      </w:r>
      <w:r>
        <w:t xml:space="preserve"> </w:t>
      </w:r>
      <w:r>
        <w:t xml:space="preserve">Секретные ключи какого криптографического примитива хранят участники блокчейна?</w:t>
      </w:r>
    </w:p>
    <w:p>
      <w:pPr>
        <w:pStyle w:val="BodyText"/>
      </w:pPr>
      <w:r>
        <w:rPr>
          <w:b/>
          <w:bCs/>
        </w:rPr>
        <w:t xml:space="preserve">Ответ:</w:t>
      </w:r>
      <w:r>
        <w:t xml:space="preserve"> </w:t>
      </w:r>
      <w:r>
        <w:t xml:space="preserve">Участники блокчейна хранят секретные ключи, которые используются для цифровой подписи</w:t>
      </w:r>
    </w:p>
    <w:p>
      <w:pPr>
        <w:pStyle w:val="BodyText"/>
      </w:pPr>
      <w:r>
        <w:rPr>
          <w:b/>
          <w:bCs/>
        </w:rPr>
        <w:t xml:space="preserve">Пояснение:</w:t>
      </w:r>
      <w:r>
        <w:t xml:space="preserve"> </w:t>
      </w:r>
      <w:r>
        <w:t xml:space="preserve">Секретные ключи в блокчейне используются для создания и проверки цифровых подписей, обеспечивая аутентификацию и целостность данных.</w:t>
      </w:r>
    </w:p>
    <w:p>
      <w:pPr>
        <w:pStyle w:val="CaptionedFigure"/>
      </w:pPr>
      <w:r>
        <w:drawing>
          <wp:inline>
            <wp:extent cx="5867400" cy="3384244"/>
            <wp:effectExtent b="0" l="0" r="0" t="0"/>
            <wp:docPr descr="Рис. 4.17 Сертификат" title="" id="73" name="Picture"/>
            <a:graphic>
              <a:graphicData uri="http://schemas.openxmlformats.org/drawingml/2006/picture">
                <pic:pic>
                  <pic:nvPicPr>
                    <pic:cNvPr descr="image/4.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8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Рис. 4.17 Сертификат</w:t>
      </w:r>
    </w:p>
    <w:bookmarkEnd w:id="75"/>
    <w:bookmarkEnd w:id="76"/>
    <w:bookmarkEnd w:id="77"/>
    <w:bookmarkStart w:id="7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прохождения внешних курсов были получены навыки о</w:t>
      </w:r>
      <w:r>
        <w:t xml:space="preserve"> </w:t>
      </w:r>
      <w:r>
        <w:t xml:space="preserve">“</w:t>
      </w:r>
      <w:r>
        <w:t xml:space="preserve">Безопасности в сети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Защите ПК/телефона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Криптографии</w:t>
      </w:r>
      <w:r>
        <w:t xml:space="preserve">”</w:t>
      </w:r>
      <w:r>
        <w:t xml:space="preserve">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внешних курсов</dc:title>
  <dc:creator>Боровиков Даниил Александрович НПИбд-01-22</dc:creator>
  <dc:language>ru-RU</dc:language>
  <cp:keywords/>
  <dcterms:created xsi:type="dcterms:W3CDTF">2024-05-18T15:16:05Z</dcterms:created>
  <dcterms:modified xsi:type="dcterms:W3CDTF">2024-05-18T15:16:05Z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List of Figures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List of Listings</vt:lpwstr>
  </property>
  <property fmtid="{D5CDD505-2E9C-101B-9397-08002B2CF9AE}" pid="49" name="lotItemTemplate">
    <vt:lpwstr>lotItemTitleilistItemTitleDelimt </vt:lpwstr>
  </property>
  <property fmtid="{D5CDD505-2E9C-101B-9397-08002B2CF9AE}" pid="50" name="lotItemTitle">
    <vt:lpwstr/>
  </property>
  <property fmtid="{D5CDD505-2E9C-101B-9397-08002B2CF9AE}" pid="51" name="lotTitle">
    <vt:lpwstr>List of Tables</vt:lpwstr>
  </property>
  <property fmtid="{D5CDD505-2E9C-101B-9397-08002B2CF9AE}" pid="52" name="lstLabels">
    <vt:lpwstr>arabic</vt:lpwstr>
  </property>
  <property fmtid="{D5CDD505-2E9C-101B-9397-08002B2CF9AE}" pid="53" name="lstPrefix">
    <vt:lpwstr/>
  </property>
  <property fmtid="{D5CDD505-2E9C-101B-9397-08002B2CF9AE}" pid="54" name="lstPrefixTemplate">
    <vt:lpwstr>p i</vt:lpwstr>
  </property>
  <property fmtid="{D5CDD505-2E9C-101B-9397-08002B2CF9AE}" pid="55" name="mainfont">
    <vt:lpwstr>PT Serif</vt:lpwstr>
  </property>
  <property fmtid="{D5CDD505-2E9C-101B-9397-08002B2CF9AE}" pid="56" name="mainfontoptions">
    <vt:lpwstr>Ligatures=TeX</vt:lpwstr>
  </property>
  <property fmtid="{D5CDD505-2E9C-101B-9397-08002B2CF9AE}" pid="57" name="monofont">
    <vt:lpwstr>PT Mono</vt:lpwstr>
  </property>
  <property fmtid="{D5CDD505-2E9C-101B-9397-08002B2CF9AE}" pid="58" name="monofontoptions">
    <vt:lpwstr>Scale=MatchLowercase,Scale=0.9</vt:lpwstr>
  </property>
  <property fmtid="{D5CDD505-2E9C-101B-9397-08002B2CF9AE}" pid="59" name="nameInLink">
    <vt:lpwstr>False</vt:lpwstr>
  </property>
  <property fmtid="{D5CDD505-2E9C-101B-9397-08002B2CF9AE}" pid="60" name="numberSections">
    <vt:lpwstr>False</vt:lpwstr>
  </property>
  <property fmtid="{D5CDD505-2E9C-101B-9397-08002B2CF9AE}" pid="61" name="pairDelim">
    <vt:lpwstr>, </vt:lpwstr>
  </property>
  <property fmtid="{D5CDD505-2E9C-101B-9397-08002B2CF9AE}" pid="62" name="papersize">
    <vt:lpwstr>a4</vt:lpwstr>
  </property>
  <property fmtid="{D5CDD505-2E9C-101B-9397-08002B2CF9AE}" pid="63" name="polyglossia-lang">
    <vt:lpwstr/>
  </property>
  <property fmtid="{D5CDD505-2E9C-101B-9397-08002B2CF9AE}" pid="64" name="polyglossia-otherlangs">
    <vt:lpwstr/>
  </property>
  <property fmtid="{D5CDD505-2E9C-101B-9397-08002B2CF9AE}" pid="65" name="rangeDelim">
    <vt:lpwstr>-</vt:lpwstr>
  </property>
  <property fmtid="{D5CDD505-2E9C-101B-9397-08002B2CF9AE}" pid="66" name="refDelim">
    <vt:lpwstr>, </vt:lpwstr>
  </property>
  <property fmtid="{D5CDD505-2E9C-101B-9397-08002B2CF9AE}" pid="67" name="refIndexTemplate">
    <vt:lpwstr>isuf</vt:lpwstr>
  </property>
  <property fmtid="{D5CDD505-2E9C-101B-9397-08002B2CF9AE}" pid="68" name="romanfont">
    <vt:lpwstr>PT Serif</vt:lpwstr>
  </property>
  <property fmtid="{D5CDD505-2E9C-101B-9397-08002B2CF9AE}" pid="69" name="romanfontoptions">
    <vt:lpwstr>Ligatures=TeX</vt:lpwstr>
  </property>
  <property fmtid="{D5CDD505-2E9C-101B-9397-08002B2CF9AE}" pid="70" name="sansfont">
    <vt:lpwstr>PT Sans</vt:lpwstr>
  </property>
  <property fmtid="{D5CDD505-2E9C-101B-9397-08002B2CF9AE}" pid="71" name="sansfontoptions">
    <vt:lpwstr>Ligatures=TeX,Scale=MatchLowercase</vt:lpwstr>
  </property>
  <property fmtid="{D5CDD505-2E9C-101B-9397-08002B2CF9AE}" pid="72" name="secHeaderDelim">
    <vt:lpwstr> </vt:lpwstr>
  </property>
  <property fmtid="{D5CDD505-2E9C-101B-9397-08002B2CF9AE}" pid="73" name="secHeaderTemplate">
    <vt:lpwstr>isecHeaderDelim[n]t</vt:lpwstr>
  </property>
  <property fmtid="{D5CDD505-2E9C-101B-9397-08002B2CF9AE}" pid="74" name="secLabels">
    <vt:lpwstr>arabic</vt:lpwstr>
  </property>
  <property fmtid="{D5CDD505-2E9C-101B-9397-08002B2CF9AE}" pid="75" name="secPrefix">
    <vt:lpwstr/>
  </property>
  <property fmtid="{D5CDD505-2E9C-101B-9397-08002B2CF9AE}" pid="76" name="secPrefixTemplate">
    <vt:lpwstr>p i</vt:lpwstr>
  </property>
  <property fmtid="{D5CDD505-2E9C-101B-9397-08002B2CF9AE}" pid="77" name="sectionsDepth">
    <vt:lpwstr>0</vt:lpwstr>
  </property>
  <property fmtid="{D5CDD505-2E9C-101B-9397-08002B2CF9AE}" pid="78" name="subfigGrid">
    <vt:lpwstr>False</vt:lpwstr>
  </property>
  <property fmtid="{D5CDD505-2E9C-101B-9397-08002B2CF9AE}" pid="79" name="subfigLabels">
    <vt:lpwstr>alpha a</vt:lpwstr>
  </property>
  <property fmtid="{D5CDD505-2E9C-101B-9397-08002B2CF9AE}" pid="80" name="subfigureChildTemplate">
    <vt:lpwstr>i</vt:lpwstr>
  </property>
  <property fmtid="{D5CDD505-2E9C-101B-9397-08002B2CF9AE}" pid="81" name="subfigureRefIndexTemplate">
    <vt:lpwstr>isuf (s)</vt:lpwstr>
  </property>
  <property fmtid="{D5CDD505-2E9C-101B-9397-08002B2CF9AE}" pid="82" name="subfigureTemplate">
    <vt:lpwstr>figureTitle ititleDelim t. ccs</vt:lpwstr>
  </property>
  <property fmtid="{D5CDD505-2E9C-101B-9397-08002B2CF9AE}" pid="83" name="subtitle">
    <vt:lpwstr>Основы кибербезопасности</vt:lpwstr>
  </property>
  <property fmtid="{D5CDD505-2E9C-101B-9397-08002B2CF9AE}" pid="84" name="tableEqns">
    <vt:lpwstr>False</vt:lpwstr>
  </property>
  <property fmtid="{D5CDD505-2E9C-101B-9397-08002B2CF9AE}" pid="85" name="tableTemplate">
    <vt:lpwstr>tableTitle ititleDelim t</vt:lpwstr>
  </property>
  <property fmtid="{D5CDD505-2E9C-101B-9397-08002B2CF9AE}" pid="86" name="tableTitle">
    <vt:lpwstr>Table</vt:lpwstr>
  </property>
  <property fmtid="{D5CDD505-2E9C-101B-9397-08002B2CF9AE}" pid="87" name="tblLabels">
    <vt:lpwstr>arabic</vt:lpwstr>
  </property>
  <property fmtid="{D5CDD505-2E9C-101B-9397-08002B2CF9AE}" pid="88" name="tblPrefix">
    <vt:lpwstr/>
  </property>
  <property fmtid="{D5CDD505-2E9C-101B-9397-08002B2CF9AE}" pid="89" name="tblPrefixTemplate">
    <vt:lpwstr>p i</vt:lpwstr>
  </property>
  <property fmtid="{D5CDD505-2E9C-101B-9397-08002B2CF9AE}" pid="90" name="titleDelim">
    <vt:lpwstr>:</vt:lpwstr>
  </property>
  <property fmtid="{D5CDD505-2E9C-101B-9397-08002B2CF9AE}" pid="91" name="toc">
    <vt:lpwstr>True</vt:lpwstr>
  </property>
  <property fmtid="{D5CDD505-2E9C-101B-9397-08002B2CF9AE}" pid="92" name="toc-title">
    <vt:lpwstr>Содержание</vt:lpwstr>
  </property>
  <property fmtid="{D5CDD505-2E9C-101B-9397-08002B2CF9AE}" pid="93" name="toc_depth">
    <vt:lpwstr>2</vt:lpwstr>
  </property>
</Properties>
</file>