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№6.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Midnight Commander(рис. 1)</w:t>
      </w:r>
    </w:p>
    <w:p>
      <w:pPr>
        <w:pStyle w:val="CaptionedFigure"/>
      </w:pPr>
      <w:bookmarkStart w:id="24" w:name="fig:001"/>
      <w:r>
        <w:drawing>
          <wp:inline>
            <wp:extent cx="5334000" cy="3519264"/>
            <wp:effectExtent b="0" l="0" r="0" t="0"/>
            <wp:docPr descr="Рис. 1: Midnight Command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Midnight Commander</w:t>
      </w:r>
    </w:p>
    <w:p>
      <w:pPr>
        <w:pStyle w:val="BodyText"/>
      </w:pPr>
      <w:r>
        <w:t xml:space="preserve">Перейдем в каталог ~/work/arch-pc созданный при выполнении лабораторной работы №5(рис. 2)</w:t>
      </w:r>
    </w:p>
    <w:p>
      <w:pPr>
        <w:pStyle w:val="CaptionedFigure"/>
      </w:pPr>
      <w:bookmarkStart w:id="28" w:name="fig:002"/>
      <w:r>
        <w:drawing>
          <wp:inline>
            <wp:extent cx="5334000" cy="3519264"/>
            <wp:effectExtent b="0" l="0" r="0" t="0"/>
            <wp:docPr descr="Рис. 2: Переход в каталог ~/work/arch-pc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Переход в каталог ~/work/arch-pc</w:t>
      </w:r>
    </w:p>
    <w:p>
      <w:pPr>
        <w:pStyle w:val="BodyText"/>
      </w:pPr>
      <w:r>
        <w:t xml:space="preserve">С помощью функциональной клавиши F7 создадим папку lab06 и перейдем в созданный каталог.(рис. 3)</w:t>
      </w:r>
    </w:p>
    <w:p>
      <w:pPr>
        <w:pStyle w:val="CaptionedFigure"/>
      </w:pPr>
      <w:bookmarkStart w:id="32" w:name="fig:003"/>
      <w:r>
        <w:drawing>
          <wp:inline>
            <wp:extent cx="5334000" cy="3519264"/>
            <wp:effectExtent b="0" l="0" r="0" t="0"/>
            <wp:docPr descr="Рис. 3: Переход в каталог ~/work/arch-pc/lab06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Переход в каталог ~/work/arch-pc/lab06</w:t>
      </w:r>
    </w:p>
    <w:p>
      <w:pPr>
        <w:pStyle w:val="BodyText"/>
      </w:pPr>
      <w:r>
        <w:t xml:space="preserve">Пользуясь строкой ввода и командой touch создадим файл lab6-1.asm(рис. 4)</w:t>
      </w:r>
    </w:p>
    <w:p>
      <w:pPr>
        <w:pStyle w:val="CaptionedFigure"/>
      </w:pPr>
      <w:bookmarkStart w:id="36" w:name="fig:004"/>
      <w:r>
        <w:drawing>
          <wp:inline>
            <wp:extent cx="5334000" cy="3519264"/>
            <wp:effectExtent b="0" l="0" r="0" t="0"/>
            <wp:docPr descr="Рис. 4: Создание файла lab6-1.as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файла lab6-1.asm</w:t>
      </w:r>
    </w:p>
    <w:p>
      <w:pPr>
        <w:pStyle w:val="BodyText"/>
      </w:pPr>
      <w:r>
        <w:t xml:space="preserve">С помощью функциональной клавиши F4 откроем файл lab6-1.asm для редактирования во встроенном редакторе. В качестве редактора выберем nano(рис. 5)</w:t>
      </w:r>
    </w:p>
    <w:p>
      <w:pPr>
        <w:pStyle w:val="CaptionedFigure"/>
      </w:pPr>
      <w:bookmarkStart w:id="40" w:name="fig:005"/>
      <w:r>
        <w:drawing>
          <wp:inline>
            <wp:extent cx="5334000" cy="3519264"/>
            <wp:effectExtent b="0" l="0" r="0" t="0"/>
            <wp:docPr descr="Рис. 5: lab6-1.asm в редакторе nano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lab6-1.asm в редакторе nano</w:t>
      </w:r>
    </w:p>
    <w:p>
      <w:pPr>
        <w:pStyle w:val="BodyText"/>
      </w:pPr>
      <w:r>
        <w:t xml:space="preserve">Введем текст программы из листинга 6.1, созраним его и закроем файл(рис. 6)</w:t>
      </w:r>
    </w:p>
    <w:p>
      <w:pPr>
        <w:pStyle w:val="CaptionedFigure"/>
      </w:pPr>
      <w:bookmarkStart w:id="44" w:name="fig:006"/>
      <w:r>
        <w:drawing>
          <wp:inline>
            <wp:extent cx="5334000" cy="6330379"/>
            <wp:effectExtent b="0" l="0" r="0" t="0"/>
            <wp:docPr descr="Рис. 6: Ввод текста программы с последующим сохранением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Ввод текста программы с последующим сохранением</w:t>
      </w:r>
    </w:p>
    <w:p>
      <w:pPr>
        <w:pStyle w:val="BodyText"/>
      </w:pPr>
      <w:r>
        <w:t xml:space="preserve">С помощью функциональной клавиши F3 откроем файл lab6-1.asm для просмотра и убедимся, что файл содержит текст программы.(рис. 7)</w:t>
      </w:r>
    </w:p>
    <w:p>
      <w:pPr>
        <w:pStyle w:val="CaptionedFigure"/>
      </w:pPr>
      <w:bookmarkStart w:id="48" w:name="fig:007"/>
      <w:r>
        <w:drawing>
          <wp:inline>
            <wp:extent cx="5334000" cy="6330379"/>
            <wp:effectExtent b="0" l="0" r="0" t="0"/>
            <wp:docPr descr="Рис. 7: Проверка сохранения файл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Проверка сохранения файла</w:t>
      </w:r>
    </w:p>
    <w:p>
      <w:pPr>
        <w:pStyle w:val="BodyText"/>
      </w:pPr>
      <w:r>
        <w:t xml:space="preserve">Оттранслируем текст программы lab6-1.asm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вводим ФИО.(рис. 8)</w:t>
      </w:r>
    </w:p>
    <w:p>
      <w:pPr>
        <w:pStyle w:val="CaptionedFigure"/>
      </w:pPr>
      <w:bookmarkStart w:id="52" w:name="fig:008"/>
      <w:r>
        <w:drawing>
          <wp:inline>
            <wp:extent cx="5334000" cy="938533"/>
            <wp:effectExtent b="0" l="0" r="0" t="0"/>
            <wp:docPr descr="Рис. 8: Запуск программы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Запуск программы</w:t>
      </w:r>
    </w:p>
    <w:p>
      <w:pPr>
        <w:pStyle w:val="BodyText"/>
      </w:pPr>
      <w:r>
        <w:t xml:space="preserve">Скопируем файл in_out.asm в каталог с файлом lab6-1.asm с помощью функциональной клавиши F5(рис. 9)</w:t>
      </w:r>
    </w:p>
    <w:p>
      <w:pPr>
        <w:pStyle w:val="CaptionedFigure"/>
      </w:pPr>
      <w:bookmarkStart w:id="56" w:name="fig:009"/>
      <w:r>
        <w:drawing>
          <wp:inline>
            <wp:extent cx="5334000" cy="2358980"/>
            <wp:effectExtent b="0" l="0" r="0" t="0"/>
            <wp:docPr descr="Рис. 9: копирование файла in_out.asm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копирование файла in_out.asm</w:t>
      </w:r>
    </w:p>
    <w:p>
      <w:pPr>
        <w:pStyle w:val="BodyText"/>
      </w:pPr>
      <w:r>
        <w:t xml:space="preserve">С помощью функциональной клавиши F6 создадим копию файла lab6-1.asm с именем lab6-2.asm.(рис. 10)</w:t>
      </w:r>
    </w:p>
    <w:p>
      <w:pPr>
        <w:pStyle w:val="CaptionedFigure"/>
      </w:pPr>
      <w:bookmarkStart w:id="60" w:name="fig:010"/>
      <w:r>
        <w:drawing>
          <wp:inline>
            <wp:extent cx="5334000" cy="2358980"/>
            <wp:effectExtent b="0" l="0" r="0" t="0"/>
            <wp:docPr descr="Рис. 10: Копирование файла lab6-1.asm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Копирование файла lab6-1.asm</w:t>
      </w:r>
    </w:p>
    <w:p>
      <w:pPr>
        <w:pStyle w:val="BodyText"/>
      </w:pPr>
      <w:r>
        <w:t xml:space="preserve">Исправьте текст программы в файле lab6-2.asm с использование подпрограмм из внешнего файла in_out.asm (используйте подпрограммы sprintLF, sread и quit) в соответствии с листингом 6.2.(рис. 11)</w:t>
      </w:r>
    </w:p>
    <w:p>
      <w:pPr>
        <w:pStyle w:val="CaptionedFigure"/>
      </w:pPr>
      <w:bookmarkStart w:id="64" w:name="fig:011"/>
      <w:r>
        <w:drawing>
          <wp:inline>
            <wp:extent cx="5334000" cy="2674512"/>
            <wp:effectExtent b="0" l="0" r="0" t="0"/>
            <wp:docPr descr="Рис. 11: Включаем функции в программу lab6-2.asm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Включаем функции в программу lab6-2.asm</w:t>
      </w:r>
    </w:p>
    <w:p>
      <w:pPr>
        <w:pStyle w:val="BodyText"/>
      </w:pPr>
      <w:r>
        <w:t xml:space="preserve">Создадим исполняемый файл и проверим его работу(рис. 12)</w:t>
      </w:r>
    </w:p>
    <w:p>
      <w:pPr>
        <w:pStyle w:val="CaptionedFigure"/>
      </w:pPr>
      <w:bookmarkStart w:id="68" w:name="fig:012"/>
      <w:r>
        <w:drawing>
          <wp:inline>
            <wp:extent cx="5334000" cy="838088"/>
            <wp:effectExtent b="0" l="0" r="0" t="0"/>
            <wp:docPr descr="Рис. 12: Проверка работы исполняемого файл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Проверка работы исполняемого файла</w:t>
      </w:r>
    </w:p>
    <w:p>
      <w:pPr>
        <w:pStyle w:val="BodyText"/>
      </w:pPr>
      <w:r>
        <w:t xml:space="preserve">В файле lab6-2.asm заменим подпрограмму sprintLF на sprint. Создадим исполняемый файл и проверьте его работу. Выясним, что от первоначальной версии полученная программа отличается вводом и выводом на одной строке(рис. 13)</w:t>
      </w:r>
    </w:p>
    <w:p>
      <w:pPr>
        <w:pStyle w:val="CaptionedFigure"/>
      </w:pPr>
      <w:bookmarkStart w:id="72" w:name="fig:013"/>
      <w:r>
        <w:drawing>
          <wp:inline>
            <wp:extent cx="5334000" cy="1691841"/>
            <wp:effectExtent b="0" l="0" r="0" t="0"/>
            <wp:docPr descr="Рис. 13: Файл lab6-2.asm с вводом и выводом на одной строке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1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Файл lab6-2.asm с вводом и выводом на одной строке</w:t>
      </w:r>
    </w:p>
    <w:bookmarkEnd w:id="73"/>
    <w:bookmarkStart w:id="90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Программа работающая по алгоритму без использования подпрограмм:</w:t>
      </w:r>
    </w:p>
    <w:p>
      <w:pPr>
        <w:pStyle w:val="BodyTex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ввести строку с клавиатуры;</w:t>
      </w:r>
    </w:p>
    <w:p>
      <w:pPr>
        <w:pStyle w:val="BodyText"/>
      </w:pPr>
      <w:r>
        <w:t xml:space="preserve">вывести введённую строку на экран.(рис. 14)</w:t>
      </w:r>
    </w:p>
    <w:p>
      <w:pPr>
        <w:pStyle w:val="BodyText"/>
      </w:pPr>
      <w:r>
        <w:t xml:space="preserve">Листинг программы:</w:t>
      </w:r>
    </w:p>
    <w:p>
      <w:pPr>
        <w:pStyle w:val="BodyText"/>
      </w:pPr>
      <w:r>
        <w:t xml:space="preserve">SECTION .data ; Секция инициированных данных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,10</w:t>
      </w:r>
    </w:p>
    <w:p>
      <w:pPr>
        <w:pStyle w:val="BodyText"/>
      </w:pPr>
      <w:r>
        <w:t xml:space="preserve">msgLen: EQU $-msg ; Длина переменной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</w:p>
    <w:p>
      <w:pPr>
        <w:pStyle w:val="BodyText"/>
      </w:pPr>
      <w:r>
        <w:t xml:space="preserve">SECTION .bss ; Секция не инициированных данных</w:t>
      </w:r>
    </w:p>
    <w:p>
      <w:pPr>
        <w:pStyle w:val="BodyText"/>
      </w:pPr>
      <w:r>
        <w:t xml:space="preserve">buf1: RESB 80 ; Буфер размером 80 байт</w:t>
      </w:r>
    </w:p>
    <w:p>
      <w:pPr>
        <w:pStyle w:val="BodyText"/>
      </w:pPr>
      <w:r>
        <w:t xml:space="preserve">SECTION .text ; Код программы</w:t>
      </w:r>
    </w:p>
    <w:p>
      <w:pPr>
        <w:pStyle w:val="BodyText"/>
      </w:pPr>
      <w:r>
        <w:t xml:space="preserve">GLOBAL _start ; Начало программы</w:t>
      </w:r>
    </w:p>
    <w:p>
      <w:pPr>
        <w:pStyle w:val="BodyText"/>
      </w:pPr>
      <w:r>
        <w:t xml:space="preserve">_start: ; Точка входа в программу</w:t>
      </w:r>
    </w:p>
    <w:p>
      <w:pPr>
        <w:pStyle w:val="BodyText"/>
      </w:pPr>
      <w:r>
        <w:t xml:space="preserve">mov eax,4 ; Системный вызов для записи (sys_write)</w:t>
      </w:r>
    </w:p>
    <w:p>
      <w:pPr>
        <w:pStyle w:val="BodyText"/>
      </w:pPr>
      <w:r>
        <w:t xml:space="preserve">mov ebx,1 ; Описатель файла 1 - стандартный вывод</w:t>
      </w:r>
    </w:p>
    <w:p>
      <w:pPr>
        <w:pStyle w:val="BodyText"/>
      </w:pPr>
      <w:r>
        <w:t xml:space="preserve">mov ecx,msg ; Адрес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ecx</w:t>
      </w:r>
      <w:r>
        <w:t xml:space="preserve">’</w:t>
      </w:r>
    </w:p>
    <w:p>
      <w:pPr>
        <w:pStyle w:val="BodyText"/>
      </w:pPr>
      <w:r>
        <w:t xml:space="preserve">mov edx,msgLen ; Размер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edx</w:t>
      </w:r>
      <w:r>
        <w:t xml:space="preserve">’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mov eax, 3 ; Системный вызов для чтения (sys_read)</w:t>
      </w:r>
    </w:p>
    <w:p>
      <w:pPr>
        <w:pStyle w:val="BodyText"/>
      </w:pPr>
      <w:r>
        <w:t xml:space="preserve">mov ebx, 0 ; Дескриптор файла 0 - стандартный ввод</w:t>
      </w:r>
    </w:p>
    <w:p>
      <w:pPr>
        <w:pStyle w:val="BodyText"/>
      </w:pPr>
      <w:r>
        <w:t xml:space="preserve">mov ecx, buf1 ; Адрес буфера под вводимую строку</w:t>
      </w:r>
    </w:p>
    <w:p>
      <w:pPr>
        <w:pStyle w:val="BodyText"/>
      </w:pPr>
      <w:r>
        <w:t xml:space="preserve">mov edx, 80 ; Длина вводимой строки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mov eax,4 ; Системный вызов для записи (sys_write)</w:t>
      </w:r>
    </w:p>
    <w:p>
      <w:pPr>
        <w:pStyle w:val="BodyText"/>
      </w:pPr>
      <w:r>
        <w:t xml:space="preserve">mov ebx,1 ; Описатель файла</w:t>
      </w:r>
      <w:r>
        <w:t xml:space="preserve"> </w:t>
      </w:r>
      <w:r>
        <w:t xml:space="preserve">‘</w:t>
      </w:r>
      <w:r>
        <w:t xml:space="preserve">1</w:t>
      </w:r>
      <w:r>
        <w:t xml:space="preserve">’</w:t>
      </w:r>
      <w:r>
        <w:t xml:space="preserve"> </w:t>
      </w:r>
      <w:r>
        <w:t xml:space="preserve">- стандартный вывод</w:t>
      </w:r>
    </w:p>
    <w:p>
      <w:pPr>
        <w:pStyle w:val="BodyText"/>
      </w:pPr>
      <w:r>
        <w:t xml:space="preserve">mov ecx,buf1 ; Адрес строки buf1 в ecx</w:t>
      </w:r>
    </w:p>
    <w:p>
      <w:pPr>
        <w:pStyle w:val="BodyText"/>
      </w:pPr>
      <w:r>
        <w:t xml:space="preserve">mov edx,buf1 ; Размер строки buf1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mov eax,1 ; Системный вызов для выхода (sys_exit)</w:t>
      </w:r>
    </w:p>
    <w:p>
      <w:pPr>
        <w:pStyle w:val="BodyText"/>
      </w:pPr>
      <w:r>
        <w:t xml:space="preserve">mov ebx,0 ; Выход с кодом возврата 0 (без ошибок)</w:t>
      </w:r>
    </w:p>
    <w:p>
      <w:pPr>
        <w:pStyle w:val="BodyText"/>
      </w:pPr>
      <w:r>
        <w:t xml:space="preserve">int 80h ; Вызов ядра</w:t>
      </w:r>
    </w:p>
    <w:p>
      <w:pPr>
        <w:pStyle w:val="CaptionedFigure"/>
      </w:pPr>
      <w:bookmarkStart w:id="77" w:name="fig:014"/>
      <w:r>
        <w:drawing>
          <wp:inline>
            <wp:extent cx="5334000" cy="4777471"/>
            <wp:effectExtent b="0" l="0" r="0" t="0"/>
            <wp:docPr descr="Рис. 14: Код программы без использования подпрограмм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Код программы без использования подпрограмм</w:t>
      </w:r>
    </w:p>
    <w:p>
      <w:pPr>
        <w:pStyle w:val="BodyText"/>
      </w:pPr>
      <w:r>
        <w:t xml:space="preserve">Получим исполняемый файл требуемой программы и проверим его работу. На приглашение</w:t>
      </w:r>
      <w:r>
        <w:t xml:space="preserve"> </w:t>
      </w:r>
      <w:r>
        <w:t xml:space="preserve">ввести строку введем свою фамилию(рис. 15)</w:t>
      </w:r>
    </w:p>
    <w:p>
      <w:pPr>
        <w:pStyle w:val="CaptionedFigure"/>
      </w:pPr>
      <w:bookmarkStart w:id="81" w:name="fig:015"/>
      <w:r>
        <w:drawing>
          <wp:inline>
            <wp:extent cx="5334000" cy="1286520"/>
            <wp:effectExtent b="0" l="0" r="0" t="0"/>
            <wp:docPr descr="Рис. 15: Запуск программы без использрвания подпрограмм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6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Запуск программы без использрвания подпрограмм</w:t>
      </w:r>
    </w:p>
    <w:p>
      <w:pPr>
        <w:pStyle w:val="BodyText"/>
      </w:pPr>
      <w:r>
        <w:t xml:space="preserve">Программа работающая по алгоритму с использованием подпрограмм:</w:t>
      </w:r>
    </w:p>
    <w:p>
      <w:pPr>
        <w:pStyle w:val="BodyTex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ввести строку с клавиатуры;</w:t>
      </w:r>
    </w:p>
    <w:p>
      <w:pPr>
        <w:pStyle w:val="BodyText"/>
      </w:pPr>
      <w:r>
        <w:t xml:space="preserve">вывести введённую строку на экран.(рис. 16)</w:t>
      </w:r>
    </w:p>
    <w:p>
      <w:pPr>
        <w:pStyle w:val="BodyText"/>
      </w:pPr>
      <w:r>
        <w:t xml:space="preserve">Листинг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 ; Секция инициированных данных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,0h ; сообщение</w:t>
      </w:r>
    </w:p>
    <w:p>
      <w:pPr>
        <w:pStyle w:val="BodyText"/>
      </w:pPr>
      <w:r>
        <w:t xml:space="preserve">SECTION .bss ; Секция не инициированных данных</w:t>
      </w:r>
    </w:p>
    <w:p>
      <w:pPr>
        <w:pStyle w:val="BodyText"/>
      </w:pPr>
      <w:r>
        <w:t xml:space="preserve">buf1: RESB 80 ; Буфер размером 80 байт</w:t>
      </w:r>
    </w:p>
    <w:p>
      <w:pPr>
        <w:pStyle w:val="BodyText"/>
      </w:pPr>
      <w:r>
        <w:t xml:space="preserve">SECTION .text ; Код программы</w:t>
      </w:r>
    </w:p>
    <w:p>
      <w:pPr>
        <w:pStyle w:val="BodyText"/>
      </w:pPr>
      <w:r>
        <w:t xml:space="preserve">GLOBAL _start ; Начало программы</w:t>
      </w:r>
    </w:p>
    <w:p>
      <w:pPr>
        <w:pStyle w:val="BodyText"/>
      </w:pPr>
      <w:r>
        <w:t xml:space="preserve">_start: ; Точка входа в программу</w:t>
      </w:r>
    </w:p>
    <w:p>
      <w:pPr>
        <w:pStyle w:val="BodyText"/>
      </w:pPr>
      <w:r>
        <w:t xml:space="preserve">mov eax, msg ; запись адреса выводимого сообщения в</w:t>
      </w:r>
      <w:r>
        <w:t xml:space="preserve"> </w:t>
      </w:r>
      <w:r>
        <w:rPr>
          <w:rStyle w:val="VerbatimChar"/>
        </w:rPr>
        <w:t xml:space="preserve">EAX</w:t>
      </w:r>
    </w:p>
    <w:p>
      <w:pPr>
        <w:pStyle w:val="BodyText"/>
      </w:pPr>
      <w:r>
        <w:t xml:space="preserve">call sprint ; вызов подпрограммы печати сообщения</w:t>
      </w:r>
    </w:p>
    <w:p>
      <w:pPr>
        <w:pStyle w:val="BodyText"/>
      </w:pPr>
      <w:r>
        <w:t xml:space="preserve">mov ecx, buf1 ; запись адреса переменной в</w:t>
      </w:r>
      <w:r>
        <w:t xml:space="preserve"> </w:t>
      </w:r>
      <w:r>
        <w:rPr>
          <w:rStyle w:val="VerbatimChar"/>
        </w:rPr>
        <w:t xml:space="preserve">EAX</w:t>
      </w:r>
    </w:p>
    <w:p>
      <w:pPr>
        <w:pStyle w:val="BodyText"/>
      </w:pPr>
      <w:r>
        <w:t xml:space="preserve">mov edx, 80 ; запись длины вводимого сообщения в</w:t>
      </w:r>
      <w:r>
        <w:t xml:space="preserve"> </w:t>
      </w:r>
      <w:r>
        <w:rPr>
          <w:rStyle w:val="VerbatimChar"/>
        </w:rPr>
        <w:t xml:space="preserve">EBX</w:t>
      </w:r>
    </w:p>
    <w:p>
      <w:pPr>
        <w:pStyle w:val="BodyText"/>
      </w:pPr>
      <w:r>
        <w:t xml:space="preserve">call sread ; вызов подпрограммы ввода сообщения</w:t>
      </w:r>
    </w:p>
    <w:p>
      <w:pPr>
        <w:pStyle w:val="BodyText"/>
      </w:pPr>
      <w:r>
        <w:t xml:space="preserve">mov eax,4 ; Системный вызов для записи (sys_write)</w:t>
      </w:r>
    </w:p>
    <w:p>
      <w:pPr>
        <w:pStyle w:val="BodyText"/>
      </w:pPr>
      <w:r>
        <w:t xml:space="preserve">mov ebx,1 ; Описатель файла</w:t>
      </w:r>
      <w:r>
        <w:t xml:space="preserve"> </w:t>
      </w:r>
      <w:r>
        <w:t xml:space="preserve">‘</w:t>
      </w:r>
      <w:r>
        <w:t xml:space="preserve">1</w:t>
      </w:r>
      <w:r>
        <w:t xml:space="preserve">’</w:t>
      </w:r>
      <w:r>
        <w:t xml:space="preserve"> </w:t>
      </w:r>
      <w:r>
        <w:t xml:space="preserve">- стандартный вывод</w:t>
      </w:r>
    </w:p>
    <w:p>
      <w:pPr>
        <w:pStyle w:val="BodyText"/>
      </w:pPr>
      <w:r>
        <w:t xml:space="preserve">mov ecx,buf1 ; Адрес строки buf1 в ecx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call quit ; вызов подпрограммы завершения</w:t>
      </w:r>
    </w:p>
    <w:p>
      <w:pPr>
        <w:pStyle w:val="CaptionedFigure"/>
      </w:pPr>
      <w:bookmarkStart w:id="85" w:name="fig:016"/>
      <w:r>
        <w:drawing>
          <wp:inline>
            <wp:extent cx="5334000" cy="3036611"/>
            <wp:effectExtent b="0" l="0" r="0" t="0"/>
            <wp:docPr descr="Рис. 16: Код программы с использованием подпрограмм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Код программы с использованием подпрограмм</w:t>
      </w:r>
    </w:p>
    <w:p>
      <w:pPr>
        <w:pStyle w:val="BodyText"/>
      </w:pPr>
      <w:r>
        <w:t xml:space="preserve">Получим исполняемый файл требуемой программы и проверим его работу. На приглашение</w:t>
      </w:r>
      <w:r>
        <w:t xml:space="preserve"> </w:t>
      </w:r>
      <w:r>
        <w:t xml:space="preserve">ввести строку введем свою фамилию(рис. 17)</w:t>
      </w:r>
    </w:p>
    <w:p>
      <w:pPr>
        <w:pStyle w:val="CaptionedFigure"/>
      </w:pPr>
      <w:bookmarkStart w:id="89" w:name="fig:017"/>
      <w:r>
        <w:drawing>
          <wp:inline>
            <wp:extent cx="5334000" cy="1108834"/>
            <wp:effectExtent b="0" l="0" r="0" t="0"/>
            <wp:docPr descr="Рис. 17: Запуск программы с использованием подпрограмм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8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Запуск программы с использованием подпрограмм</w:t>
      </w:r>
    </w:p>
    <w:p>
      <w:pPr>
        <w:pStyle w:val="BodyText"/>
      </w:pPr>
      <w:r>
        <w:t xml:space="preserve">Ссылка на github: https://github.com/daBorovikov/study_2022-2023_arh-pc-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приобрели практические навыки работы в Midnight Commander, освоили инструкции языка ассемблера mov и int.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№6.</dc:title>
  <dc:creator>Боровиков Даниил Александрович</dc:creator>
  <dc:language>ru-RU</dc:language>
  <cp:keywords/>
  <dcterms:created xsi:type="dcterms:W3CDTF">2022-11-19T14:14:23Z</dcterms:created>
  <dcterms:modified xsi:type="dcterms:W3CDTF">2022-11-19T14:14:23Z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