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29.png" ContentType="image/png"/>
  <Override PartName="/word/media/rId10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№10.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программ лабораторной работы № 10, перейдем в него и создадим файл lab10-1.asm(рис. 1)</w:t>
      </w:r>
    </w:p>
    <w:p>
      <w:pPr>
        <w:pStyle w:val="CaptionedFigure"/>
      </w:pPr>
      <w:bookmarkStart w:id="24" w:name="fig:001"/>
      <w:r>
        <w:drawing>
          <wp:inline>
            <wp:extent cx="5334000" cy="926431"/>
            <wp:effectExtent b="0" l="0" r="0" t="0"/>
            <wp:docPr descr="Рис. 1: Создание файла lab10-1.asm в соответствующем каталоге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файла lab10-1.asm в соответствующем каталоге</w:t>
      </w:r>
    </w:p>
    <w:p>
      <w:pPr>
        <w:pStyle w:val="BodyText"/>
      </w:pPr>
      <w:r>
        <w:t xml:space="preserve">Введем в файл lab10-1.asm текст программы из листинга 10.1.(рис. 2)</w:t>
      </w:r>
    </w:p>
    <w:p>
      <w:pPr>
        <w:pStyle w:val="CaptionedFigure"/>
      </w:pPr>
      <w:bookmarkStart w:id="28" w:name="fig:002"/>
      <w:r>
        <w:drawing>
          <wp:inline>
            <wp:extent cx="5334000" cy="5249778"/>
            <wp:effectExtent b="0" l="0" r="0" t="0"/>
            <wp:docPr descr="Рис. 2: Текст программы из листинга 10.1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Текст программы из листинга 10.1.</w:t>
      </w:r>
    </w:p>
    <w:p>
      <w:pPr>
        <w:pStyle w:val="BodyText"/>
      </w:pPr>
      <w:r>
        <w:t xml:space="preserve">Создадим исполняемый файл и запустим его.(рис. 3)</w:t>
      </w:r>
    </w:p>
    <w:p>
      <w:pPr>
        <w:pStyle w:val="CaptionedFigure"/>
      </w:pPr>
      <w:bookmarkStart w:id="32" w:name="fig:003"/>
      <w:r>
        <w:drawing>
          <wp:inline>
            <wp:extent cx="5334000" cy="807118"/>
            <wp:effectExtent b="0" l="0" r="0" t="0"/>
            <wp:docPr descr="Рис. 3: Запуск исполняемого файла lab10-1.asm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Запуск исполняемого файла lab10-1.asm</w:t>
      </w:r>
    </w:p>
    <w:p>
      <w:pPr>
        <w:pStyle w:val="BodyText"/>
      </w:pPr>
      <w:r>
        <w:t xml:space="preserve">Далее изменим текст программы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 в подпрограмму _subcalcul, где вычисляется выражение 𝑔(𝑥), результат возвращается в _calcul и вычисляется выражение f(g(x)). Результат возвращается в основную программу для вывода результата на экран.(рис. 4)</w:t>
      </w:r>
    </w:p>
    <w:p>
      <w:pPr>
        <w:pStyle w:val="CaptionedFigure"/>
      </w:pPr>
      <w:bookmarkStart w:id="36" w:name="fig:004"/>
      <w:r>
        <w:drawing>
          <wp:inline>
            <wp:extent cx="5334000" cy="5890349"/>
            <wp:effectExtent b="0" l="0" r="0" t="0"/>
            <wp:docPr descr="Рис. 4: Текст измененной программы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0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Текст измененной программы</w:t>
      </w:r>
    </w:p>
    <w:p>
      <w:pPr>
        <w:pStyle w:val="BodyText"/>
      </w:pPr>
      <w:r>
        <w:t xml:space="preserve">Создадим исполняемый файл исправленного текста программы lab10-1.asm и запустиv его.(рис. 5)</w:t>
      </w:r>
    </w:p>
    <w:p>
      <w:pPr>
        <w:pStyle w:val="CaptionedFigure"/>
      </w:pPr>
      <w:bookmarkStart w:id="40" w:name="fig:005"/>
      <w:r>
        <w:drawing>
          <wp:inline>
            <wp:extent cx="5334000" cy="841478"/>
            <wp:effectExtent b="0" l="0" r="0" t="0"/>
            <wp:docPr descr="Рис. 5: Запуск исправленного исполняемого файла lab10-1.asm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 исправленного исполняемого файла lab10-1.asm</w:t>
      </w:r>
    </w:p>
    <w:p>
      <w:pPr>
        <w:pStyle w:val="BodyText"/>
      </w:pPr>
      <w:r>
        <w:t xml:space="preserve">Создадим файл lab10-2.asm с текстом программы из Листинга 10.2. (Програм-</w:t>
      </w:r>
      <w:r>
        <w:t xml:space="preserve"> </w:t>
      </w:r>
      <w:r>
        <w:t xml:space="preserve">ма печати сообщения Hello world!):(рис. 6)</w:t>
      </w:r>
    </w:p>
    <w:p>
      <w:pPr>
        <w:pStyle w:val="CaptionedFigure"/>
      </w:pPr>
      <w:bookmarkStart w:id="44" w:name="fig:006"/>
      <w:r>
        <w:drawing>
          <wp:inline>
            <wp:extent cx="5334000" cy="3381686"/>
            <wp:effectExtent b="0" l="0" r="0" t="0"/>
            <wp:docPr descr="Рис. 6: Листинг программы 10.2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Листинг программы 10.2</w:t>
      </w:r>
    </w:p>
    <w:p>
      <w:pPr>
        <w:pStyle w:val="BodyText"/>
      </w:pPr>
      <w:r>
        <w:t xml:space="preserve">Получим исполняемый файл. Для работы с GDB в исполняемый файл добавим отладочную информацию, для этого трансляцию программ проведем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nasm -f elf -g -l lab10-2.lst lab10-2.asm</w:t>
      </w:r>
    </w:p>
    <w:p>
      <w:pPr>
        <w:pStyle w:val="BodyText"/>
      </w:pPr>
      <w:r>
        <w:t xml:space="preserve">ld -m elf_i386 -o lab10-2 lab10-2.o</w:t>
      </w:r>
    </w:p>
    <w:p>
      <w:pPr>
        <w:pStyle w:val="BodyText"/>
      </w:pPr>
      <w:r>
        <w:t xml:space="preserve">Загрузим исполняемый файл в отладчик gdb:</w:t>
      </w:r>
    </w:p>
    <w:p>
      <w:pPr>
        <w:pStyle w:val="BodyText"/>
      </w:pPr>
      <w:r>
        <w:t xml:space="preserve">user@dk4n31:~$ gdb lab10-2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(сокращённо r):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её.(рис. 7)</w:t>
      </w:r>
    </w:p>
    <w:p>
      <w:pPr>
        <w:pStyle w:val="CaptionedFigure"/>
      </w:pPr>
      <w:bookmarkStart w:id="48" w:name="fig:007"/>
      <w:r>
        <w:drawing>
          <wp:inline>
            <wp:extent cx="5334000" cy="3486274"/>
            <wp:effectExtent b="0" l="0" r="0" t="0"/>
            <wp:docPr descr="Рис. 7: Запуск измененного исполняемого файла lab10-2.asm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Запуск измененного исполняемого файла lab10-2.asm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</w:t>
      </w:r>
    </w:p>
    <w:p>
      <w:pPr>
        <w:pStyle w:val="BodyText"/>
      </w:pPr>
      <w:r>
        <w:t xml:space="preserve">(gdb) disassemble _start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</w:t>
      </w:r>
    </w:p>
    <w:p>
      <w:pPr>
        <w:pStyle w:val="BodyText"/>
      </w:pPr>
      <w:r>
        <w:t xml:space="preserve">(gdb) set disassembly-flavor intel</w:t>
      </w:r>
    </w:p>
    <w:p>
      <w:pPr>
        <w:pStyle w:val="BodyText"/>
      </w:pPr>
      <w:r>
        <w:t xml:space="preserve">(gdb) disassemble _start(рис. 8)</w:t>
      </w:r>
    </w:p>
    <w:p>
      <w:pPr>
        <w:pStyle w:val="CaptionedFigure"/>
      </w:pPr>
      <w:bookmarkStart w:id="52" w:name="fig:008"/>
      <w:r>
        <w:drawing>
          <wp:inline>
            <wp:extent cx="5334000" cy="4371788"/>
            <wp:effectExtent b="0" l="0" r="0" t="0"/>
            <wp:docPr descr="Рис. 8: Дисассимилированный код программы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Дисассимилированный код программы</w:t>
      </w:r>
    </w:p>
    <w:p>
      <w:pPr>
        <w:pStyle w:val="BodyText"/>
      </w:pPr>
      <w:r>
        <w:t xml:space="preserve">Синтаксисы машинных команд в режимах ATT и Intel заключаются в наличии символов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&amp;</w:t>
      </w:r>
      <w:r>
        <w:t xml:space="preserve">”</w:t>
      </w:r>
      <w:r>
        <w:t xml:space="preserve"> </w:t>
      </w:r>
      <w:r>
        <w:t xml:space="preserve">в ATT режиме.</w:t>
      </w:r>
    </w:p>
    <w:p>
      <w:pPr>
        <w:pStyle w:val="BodyText"/>
      </w:pPr>
      <w:r>
        <w:t xml:space="preserve">Включим режим псевдографики для более удобного анализа программы(рис. 9)</w:t>
      </w:r>
    </w:p>
    <w:p>
      <w:pPr>
        <w:pStyle w:val="CaptionedFigure"/>
      </w:pPr>
      <w:bookmarkStart w:id="56" w:name="fig:009"/>
      <w:r>
        <w:drawing>
          <wp:inline>
            <wp:extent cx="5334000" cy="5131796"/>
            <wp:effectExtent b="0" l="0" r="0" t="0"/>
            <wp:docPr descr="Рис. 9: Режим псевдографики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1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Режим псевдографики</w:t>
      </w:r>
    </w:p>
    <w:p>
      <w:pPr>
        <w:pStyle w:val="BodyText"/>
      </w:pPr>
      <w:r>
        <w:t xml:space="preserve">Проверим брейкпоинты командой info breakpoints(рис. 10)</w:t>
      </w:r>
    </w:p>
    <w:p>
      <w:pPr>
        <w:pStyle w:val="CaptionedFigure"/>
      </w:pPr>
      <w:bookmarkStart w:id="60" w:name="fig:010"/>
      <w:r>
        <w:drawing>
          <wp:inline>
            <wp:extent cx="5334000" cy="815788"/>
            <wp:effectExtent b="0" l="0" r="0" t="0"/>
            <wp:docPr descr="Рис. 10: Брейкпоинты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Брейкпоинты</w:t>
      </w:r>
    </w:p>
    <w:p>
      <w:pPr>
        <w:pStyle w:val="BodyText"/>
      </w:pPr>
      <w:r>
        <w:t xml:space="preserve">Установим еще один брейкпоинт по адресу инструкции и проверим(рис. 11)</w:t>
      </w:r>
    </w:p>
    <w:p>
      <w:pPr>
        <w:pStyle w:val="CaptionedFigure"/>
      </w:pPr>
      <w:bookmarkStart w:id="64" w:name="fig:011"/>
      <w:r>
        <w:drawing>
          <wp:inline>
            <wp:extent cx="5334000" cy="6304491"/>
            <wp:effectExtent b="0" l="0" r="0" t="0"/>
            <wp:docPr descr="Рис. 11: Дополнительный брейкпоинт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0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Дополнительный брейкпоинт</w:t>
      </w:r>
    </w:p>
    <w:p>
      <w:pPr>
        <w:pStyle w:val="BodyText"/>
      </w:pPr>
      <w:r>
        <w:t xml:space="preserve">Выполним 5 инструкций с помощью команды stepi (или si) и проследите за изменением значений регистров. Посмотрим содержимое регистров с помощью команды inforegisters (рис. 12)</w:t>
      </w:r>
    </w:p>
    <w:p>
      <w:pPr>
        <w:pStyle w:val="CaptionedFigure"/>
      </w:pPr>
      <w:bookmarkStart w:id="68" w:name="fig:012"/>
      <w:r>
        <w:drawing>
          <wp:inline>
            <wp:extent cx="5334000" cy="6304491"/>
            <wp:effectExtent b="0" l="0" r="0" t="0"/>
            <wp:docPr descr="Рис. 12: Содержимое регистров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0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Содержимое регистров</w:t>
      </w:r>
    </w:p>
    <w:p>
      <w:pPr>
        <w:pStyle w:val="BodyText"/>
      </w:pPr>
      <w:r>
        <w:t xml:space="preserve">Посмотрим значение переменной msg1 по имени, а msg2 по адресу</w:t>
      </w:r>
      <w:r>
        <w:t xml:space="preserve"> </w:t>
      </w:r>
      <w:r>
        <w:t xml:space="preserve">(рис. 13)</w:t>
      </w:r>
    </w:p>
    <w:p>
      <w:pPr>
        <w:pStyle w:val="CaptionedFigure"/>
      </w:pPr>
      <w:bookmarkStart w:id="72" w:name="fig:013"/>
      <w:r>
        <w:drawing>
          <wp:inline>
            <wp:extent cx="5334000" cy="6038227"/>
            <wp:effectExtent b="0" l="0" r="0" t="0"/>
            <wp:docPr descr="Рис. 13: Значения переменных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Значения переменных</w:t>
      </w:r>
    </w:p>
    <w:p>
      <w:pPr>
        <w:pStyle w:val="BodyText"/>
      </w:pPr>
      <w:r>
        <w:t xml:space="preserve">Изменим первый символ переменной msg1(рис. 14)</w:t>
      </w:r>
    </w:p>
    <w:p>
      <w:pPr>
        <w:pStyle w:val="CaptionedFigure"/>
      </w:pPr>
      <w:bookmarkStart w:id="76" w:name="fig:014"/>
      <w:r>
        <w:drawing>
          <wp:inline>
            <wp:extent cx="5334000" cy="6038227"/>
            <wp:effectExtent b="0" l="0" r="0" t="0"/>
            <wp:docPr descr="Рис. 14: Замена первого символа msg1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Замена первого символа msg1</w:t>
      </w:r>
    </w:p>
    <w:p>
      <w:pPr>
        <w:pStyle w:val="BodyText"/>
      </w:pPr>
      <w:r>
        <w:t xml:space="preserve">Изменим символы переменной msg2(рис. 15)</w:t>
      </w:r>
    </w:p>
    <w:p>
      <w:pPr>
        <w:pStyle w:val="CaptionedFigure"/>
      </w:pPr>
      <w:bookmarkStart w:id="80" w:name="fig:015"/>
      <w:r>
        <w:drawing>
          <wp:inline>
            <wp:extent cx="5334000" cy="6038227"/>
            <wp:effectExtent b="0" l="0" r="0" t="0"/>
            <wp:docPr descr="Рис. 15: Замена символов msg2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Замена символов msg2</w:t>
      </w:r>
    </w:p>
    <w:p>
      <w:pPr>
        <w:pStyle w:val="BodyText"/>
      </w:pPr>
      <w:r>
        <w:t xml:space="preserve">Выведеv в различных форматах (в шестнадцатеричном формате, в двоичном</w:t>
      </w:r>
      <w:r>
        <w:t xml:space="preserve"> </w:t>
      </w:r>
      <w:r>
        <w:t xml:space="preserve">формате и в символьном виде) значение регистра edx.(рис. 16)</w:t>
      </w:r>
    </w:p>
    <w:p>
      <w:pPr>
        <w:pStyle w:val="CaptionedFigure"/>
      </w:pPr>
      <w:bookmarkStart w:id="84" w:name="fig:016"/>
      <w:r>
        <w:drawing>
          <wp:inline>
            <wp:extent cx="5334000" cy="934321"/>
            <wp:effectExtent b="0" l="0" r="0" t="0"/>
            <wp:docPr descr="Рис. 16: edx в различных форматах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edx в различных форматах</w:t>
      </w:r>
    </w:p>
    <w:p>
      <w:pPr>
        <w:pStyle w:val="BodyText"/>
      </w:pPr>
      <w:r>
        <w:t xml:space="preserve">С помощью команды set изменим значение регистра ebx:(рис.</w:t>
      </w:r>
      <w:r>
        <w:t xml:space="preserve"> </w:t>
      </w:r>
      <w:r>
        <w:rPr>
          <w:bCs/>
          <w:b/>
        </w:rPr>
        <w:t xml:space="preserve">¿fig:017?</w:t>
      </w:r>
      <w:r>
        <w:t xml:space="preserve">)</w:t>
      </w:r>
    </w:p>
    <w:p>
      <w:pPr>
        <w:pStyle w:val="BodyText"/>
      </w:pPr>
      <w:bookmarkStart w:id="88" w:name="fig:017"/>
      <w:r>
        <w:drawing>
          <wp:inline>
            <wp:extent cx="5334000" cy="920376"/>
            <wp:effectExtent b="0" l="0" r="0" t="0"/>
            <wp:docPr descr="Изменение значения регистра ebx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  <w:r>
        <w:t xml:space="preserve"> </w:t>
      </w:r>
      <w:r>
        <w:t xml:space="preserve">Разница в командах в том, что примваиваем значение числа во втором случае, а в первом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Завершим выполнение программы с помощью команды continue (сокра-</w:t>
      </w:r>
      <w:r>
        <w:t xml:space="preserve"> </w:t>
      </w:r>
      <w:r>
        <w:t xml:space="preserve">щенно c) или stepi (сокращенно si) и выйдите из GDB с помощью команды</w:t>
      </w:r>
      <w:r>
        <w:t xml:space="preserve"> </w:t>
      </w:r>
      <w:r>
        <w:t xml:space="preserve">quit (сокращенно q)</w:t>
      </w:r>
    </w:p>
    <w:p>
      <w:pPr>
        <w:pStyle w:val="BodyText"/>
      </w:pPr>
      <w:r>
        <w:t xml:space="preserve">Скопируем файл lab9-2.asm, созданный при выполнении лабораторной ра-</w:t>
      </w:r>
      <w:r>
        <w:t xml:space="preserve"> </w:t>
      </w:r>
      <w:r>
        <w:t xml:space="preserve">боты №9, с программой выводящей на экран аргументы командной строки</w:t>
      </w:r>
      <w:r>
        <w:t xml:space="preserve"> </w:t>
      </w:r>
      <w:r>
        <w:t xml:space="preserve">(Листинг 9.2) в файл с именем lab10-3.asm и создадим исполняемый файл.(рис. 17)</w:t>
      </w:r>
    </w:p>
    <w:p>
      <w:pPr>
        <w:pStyle w:val="CaptionedFigure"/>
      </w:pPr>
      <w:bookmarkStart w:id="92" w:name="fig:018"/>
      <w:r>
        <w:drawing>
          <wp:inline>
            <wp:extent cx="5334000" cy="690282"/>
            <wp:effectExtent b="0" l="0" r="0" t="0"/>
            <wp:docPr descr="Рис. 17: Создание исполняемого файл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Создание исполняемого файла</w:t>
      </w:r>
    </w:p>
    <w:p>
      <w:pPr>
        <w:pStyle w:val="BodyText"/>
      </w:pPr>
      <w:r>
        <w:t xml:space="preserve">Для загрузки в gdb программы с аргументами используем ключ</w:t>
      </w:r>
      <w:r>
        <w:t xml:space="preserve"> </w:t>
      </w:r>
      <w:r>
        <w:t xml:space="preserve">–args. Загрузим исполняемый файл в отладчик, указав аргументы(рис. 18)</w:t>
      </w:r>
    </w:p>
    <w:p>
      <w:pPr>
        <w:pStyle w:val="CaptionedFigure"/>
      </w:pPr>
      <w:bookmarkStart w:id="96" w:name="fig:019"/>
      <w:r>
        <w:drawing>
          <wp:inline>
            <wp:extent cx="5334000" cy="2468282"/>
            <wp:effectExtent b="0" l="0" r="0" t="0"/>
            <wp:docPr descr="Рис. 18: Загрузка исполняемого файла в отладчик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Загрузка исполняемого файла в отладчик</w:t>
      </w:r>
    </w:p>
    <w:p>
      <w:pPr>
        <w:pStyle w:val="BodyText"/>
      </w:pPr>
      <w:r>
        <w:t xml:space="preserve">Для начала установим брейкпоинт перед первой инструкцией в программе</w:t>
      </w:r>
      <w:r>
        <w:t xml:space="preserve"> </w:t>
      </w:r>
      <w:r>
        <w:t xml:space="preserve">и запустим ее.(рис. 19)</w:t>
      </w:r>
    </w:p>
    <w:p>
      <w:pPr>
        <w:pStyle w:val="CaptionedFigure"/>
      </w:pPr>
      <w:bookmarkStart w:id="100" w:name="fig:020"/>
      <w:r>
        <w:drawing>
          <wp:inline>
            <wp:extent cx="5334000" cy="1213223"/>
            <wp:effectExtent b="0" l="0" r="0" t="0"/>
            <wp:docPr descr="Рис. 19: Брейкпоинт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Брейкпоинт</w:t>
      </w:r>
    </w:p>
    <w:p>
      <w:pPr>
        <w:pStyle w:val="BodyText"/>
      </w:pPr>
      <w:r>
        <w:t xml:space="preserve">Посмотриv позиции стека c шагом +4(рис. 20)</w:t>
      </w:r>
    </w:p>
    <w:p>
      <w:pPr>
        <w:pStyle w:val="CaptionedFigure"/>
      </w:pPr>
      <w:bookmarkStart w:id="104" w:name="fig:021"/>
      <w:r>
        <w:drawing>
          <wp:inline>
            <wp:extent cx="5334000" cy="1952313"/>
            <wp:effectExtent b="0" l="0" r="0" t="0"/>
            <wp:docPr descr="Рис. 20: Просмотр позиций стека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Просмотр позиций стека</w:t>
      </w:r>
    </w:p>
    <w:p>
      <w:pPr>
        <w:pStyle w:val="BodyText"/>
      </w:pPr>
      <w:r>
        <w:t xml:space="preserve">Шаг равен размеру переменной - 4 байтам.</w:t>
      </w:r>
      <w:r>
        <w:t xml:space="preserve"> </w:t>
      </w:r>
      <w:r>
        <w:t xml:space="preserve">#Самостоятельная работа</w:t>
      </w:r>
    </w:p>
    <w:p>
      <w:pPr>
        <w:pStyle w:val="BodyText"/>
      </w:pPr>
      <w:r>
        <w:t xml:space="preserve">Преобразуем программу из лабораторной работы 9 задание 1 для сам работы, чтобы вычисления были в подпрограмме(рис.</w:t>
      </w:r>
      <w:r>
        <w:t xml:space="preserve"> </w:t>
      </w:r>
      <w:r>
        <w:rPr>
          <w:bCs/>
          <w:b/>
        </w:rPr>
        <w:t xml:space="preserve">¿fig:022?</w:t>
      </w:r>
      <w:r>
        <w:t xml:space="preserve">)</w:t>
      </w:r>
    </w:p>
    <w:p>
      <w:pPr>
        <w:pStyle w:val="BodyText"/>
      </w:pPr>
      <w:bookmarkStart w:id="108" w:name="fig:022"/>
      <w:r>
        <w:drawing>
          <wp:inline>
            <wp:extent cx="5334000" cy="7785028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BodyText"/>
      </w:pPr>
      <w:r>
        <w:t xml:space="preserve">Создадим испоняемый файл для проверки программы(рис.</w:t>
      </w:r>
      <w:r>
        <w:t xml:space="preserve"> </w:t>
      </w:r>
      <w:r>
        <w:rPr>
          <w:bCs/>
          <w:b/>
        </w:rPr>
        <w:t xml:space="preserve">¿fig:030?</w:t>
      </w:r>
      <w:r>
        <w:t xml:space="preserve">)</w:t>
      </w:r>
    </w:p>
    <w:p>
      <w:pPr>
        <w:pStyle w:val="BodyText"/>
      </w:pPr>
      <w:bookmarkStart w:id="112" w:name="fig:030"/>
      <w:r>
        <w:drawing>
          <wp:inline>
            <wp:extent cx="5334000" cy="141463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BodyText"/>
      </w:pPr>
      <w:r>
        <w:t xml:space="preserve">Создадим файл для задания 2 сам. работы. И ввдём программу из листинга 10.3(рис.</w:t>
      </w:r>
      <w:r>
        <w:t xml:space="preserve"> </w:t>
      </w:r>
      <w:r>
        <w:rPr>
          <w:bCs/>
          <w:b/>
        </w:rPr>
        <w:t xml:space="preserve">¿fig:023?</w:t>
      </w:r>
      <w:r>
        <w:t xml:space="preserve">)</w:t>
      </w:r>
    </w:p>
    <w:p>
      <w:pPr>
        <w:pStyle w:val="BodyText"/>
      </w:pPr>
      <w:bookmarkStart w:id="116" w:name="fig:023"/>
      <w:r>
        <w:drawing>
          <wp:inline>
            <wp:extent cx="5334000" cy="602428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BodyText"/>
      </w:pPr>
      <w:r>
        <w:t xml:space="preserve">Проверим программу с помощью отладчика и найдем ошибку(рис.</w:t>
      </w:r>
      <w:r>
        <w:t xml:space="preserve"> </w:t>
      </w:r>
      <w:r>
        <w:rPr>
          <w:bCs/>
          <w:b/>
        </w:rPr>
        <w:t xml:space="preserve">¿fig:024?</w:t>
      </w:r>
      <w:r>
        <w:t xml:space="preserve">)</w:t>
      </w:r>
    </w:p>
    <w:p>
      <w:pPr>
        <w:pStyle w:val="BodyText"/>
      </w:pPr>
      <w:bookmarkStart w:id="120" w:name="fig:025"/>
      <w:r>
        <w:drawing>
          <wp:inline>
            <wp:extent cx="5334000" cy="3242235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BodyText"/>
      </w:pPr>
      <w:r>
        <w:t xml:space="preserve">Исправим ошибку(рис.</w:t>
      </w:r>
      <w:r>
        <w:t xml:space="preserve"> </w:t>
      </w:r>
      <w:r>
        <w:rPr>
          <w:bCs/>
          <w:b/>
        </w:rPr>
        <w:t xml:space="preserve">¿fig:025?</w:t>
      </w:r>
      <w:r>
        <w:t xml:space="preserve">)</w:t>
      </w:r>
    </w:p>
    <w:p>
      <w:pPr>
        <w:pStyle w:val="BodyText"/>
      </w:pPr>
      <w:bookmarkStart w:id="124" w:name="fig:025"/>
      <w:r>
        <w:drawing>
          <wp:inline>
            <wp:extent cx="5334000" cy="282388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BodyText"/>
      </w:pPr>
      <w:r>
        <w:t xml:space="preserve">Запустим рабочую программу(рис.</w:t>
      </w:r>
      <w:r>
        <w:t xml:space="preserve"> </w:t>
      </w:r>
      <w:r>
        <w:rPr>
          <w:bCs/>
          <w:b/>
        </w:rPr>
        <w:t xml:space="preserve">¿fig:026?</w:t>
      </w:r>
      <w:r>
        <w:t xml:space="preserve">)</w:t>
      </w:r>
    </w:p>
    <w:p>
      <w:pPr>
        <w:pStyle w:val="BodyText"/>
      </w:pPr>
      <w:bookmarkStart w:id="125" w:name="fig:026"/>
      <w:bookmarkEnd w:id="125"/>
    </w:p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возможно-</w:t>
      </w:r>
      <w:r>
        <w:t xml:space="preserve"> </w:t>
      </w:r>
      <w:r>
        <w:t xml:space="preserve">стями.</w:t>
      </w:r>
    </w:p>
    <w:p>
      <w:pPr>
        <w:pStyle w:val="BodyText"/>
      </w:pPr>
      <w:r>
        <w:t xml:space="preserve">В ходе лабораторной работы мы приобрели навыки написания программ с использованием подпрограмм, познакомились с методами отладки при помощи GDB и его основными возможностями.</w:t>
      </w:r>
    </w:p>
    <w:p>
      <w:pPr>
        <w:pStyle w:val="BodyText"/>
      </w:pPr>
      <w:r>
        <w:t xml:space="preserve">https://github.com/daBorovikov/study_2022-2023_arh-pc-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№10.</dc:title>
  <dc:creator>Боровиков Даниил Александрович</dc:creator>
  <dc:language>ru-RU</dc:language>
  <cp:keywords/>
  <dcterms:created xsi:type="dcterms:W3CDTF">2022-12-18T01:40:13Z</dcterms:created>
  <dcterms:modified xsi:type="dcterms:W3CDTF">2022-12-18T01:40:13Z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Понятие подпрограммы. Отладчик GDB.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