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программой Burp Suite и изучение ее функционала.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Открываю Burp Suite и во вкладке Proxy включаю перехват http-запросов (рис. 1)</w:t>
      </w:r>
    </w:p>
    <w:p>
      <w:pPr>
        <w:pStyle w:val="CaptionedFigure"/>
      </w:pPr>
      <w:r>
        <w:drawing>
          <wp:inline>
            <wp:extent cx="3733800" cy="3708935"/>
            <wp:effectExtent b="0" l="0" r="0" t="0"/>
            <wp:docPr descr="Перехват http-запрос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Перехват http-запросов</w:t>
      </w:r>
    </w:p>
    <w:p>
      <w:pPr>
        <w:pStyle w:val="Compact"/>
        <w:numPr>
          <w:ilvl w:val="0"/>
          <w:numId w:val="1002"/>
        </w:numPr>
      </w:pPr>
      <w:r>
        <w:t xml:space="preserve">В настройках браузера настраиваю прокси-сервер (рис. 2)</w:t>
      </w:r>
    </w:p>
    <w:p>
      <w:pPr>
        <w:pStyle w:val="CaptionedFigure"/>
      </w:pPr>
      <w:r>
        <w:drawing>
          <wp:inline>
            <wp:extent cx="3733800" cy="3860204"/>
            <wp:effectExtent b="0" l="0" r="0" t="0"/>
            <wp:docPr descr="Настройка прокси-сервер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Настройка прокси-сервера</w:t>
      </w:r>
    </w:p>
    <w:p>
      <w:pPr>
        <w:pStyle w:val="Compact"/>
        <w:numPr>
          <w:ilvl w:val="0"/>
          <w:numId w:val="1003"/>
        </w:numPr>
      </w:pPr>
      <w:r>
        <w:t xml:space="preserve">Теперь, трафик браузера перехватывается в программе Burp Suite. Например, при открытии веб-страницы мы видим GET-запрос к ней (рис. 3)</w:t>
      </w:r>
    </w:p>
    <w:p>
      <w:pPr>
        <w:pStyle w:val="CaptionedFigure"/>
      </w:pPr>
      <w:r>
        <w:drawing>
          <wp:inline>
            <wp:extent cx="3733800" cy="3717278"/>
            <wp:effectExtent b="0" l="0" r="0" t="0"/>
            <wp:docPr descr="Перехват трафи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Перехват трафика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Burp SUite и научился его применять на практике.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32">
        <w:r>
          <w:rPr>
            <w:rStyle w:val="Hyperlink"/>
          </w:rPr>
          <w:t xml:space="preserve">SELinux в CentOS</w:t>
        </w:r>
      </w:hyperlink>
    </w:p>
    <w:p>
      <w:pPr>
        <w:pStyle w:val="Compact"/>
        <w:numPr>
          <w:ilvl w:val="0"/>
          <w:numId w:val="1004"/>
        </w:numPr>
      </w:pPr>
      <w:hyperlink r:id="rId33">
        <w:r>
          <w:rPr>
            <w:rStyle w:val="Hyperlink"/>
          </w:rPr>
          <w:t xml:space="preserve">Веб-сервер Apache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2" Target="https://access.redhat.com/documentation/en-us/red_hat_enterprise_linux/6/html/security-enhanced_linux/index" TargetMode="External" /><Relationship Type="http://schemas.openxmlformats.org/officeDocument/2006/relationships/hyperlink" Id="rId33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cess.redhat.com/documentation/en-us/red_hat_enterprise_linux/6/html/security-enhanced_linux/index" TargetMode="External" /><Relationship Type="http://schemas.openxmlformats.org/officeDocument/2006/relationships/hyperlink" Id="rId33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creator>Боровиков Даниил Александрович НПИбд-01-22</dc:creator>
  <dc:language>ru-RU</dc:language>
  <cp:keywords/>
  <dcterms:created xsi:type="dcterms:W3CDTF">2024-05-11T18:01:22Z</dcterms:created>
  <dcterms:modified xsi:type="dcterms:W3CDTF">2024-05-11T18:01:22Z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Дисциплина: Основы информационной безопасности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