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конкуренции двух фирм.</w:t>
      </w:r>
    </w:p>
    <w:bookmarkEnd w:id="20"/>
    <w:bookmarkStart w:id="21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Для построения модели конкуренции хотя бы двух фирм необходимо рассмотреть модель одной фирмы. Вначале рассмотрим модель фирмы, производящей продукт долговременного пользования, когда цена его определяется балансом спроса и предложения. Примем, что этот продукт занимает определенную нишу рынка и конкуренты в ней отсутствуют.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Обозначим: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t xml:space="preserve">- число потребителей производимого продукта.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– доходы потребителей данного продукта. Считаем, что доходы всех потребителей одинаковы. Это предположение справедливо, если речь идет об одной рыночной нише, т.е. производимый продукт ориентирован на определенный слой населения.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– оборотные средства предприятия</w:t>
      </w:r>
    </w:p>
    <w:p>
      <w:pPr>
        <w:pStyle w:val="BodyText"/>
      </w:pPr>
      <m:oMath>
        <m:r>
          <m:t>τ</m:t>
        </m:r>
      </m:oMath>
      <w:r>
        <w:t xml:space="preserve"> </w:t>
      </w:r>
      <w:r>
        <w:t xml:space="preserve">- длительность производственного цикла</w:t>
      </w:r>
    </w:p>
    <w:p>
      <w:pPr>
        <w:pStyle w:val="BodyText"/>
      </w:pPr>
      <m:oMath>
        <m:r>
          <m:t>p</m:t>
        </m:r>
      </m:oMath>
      <w:r>
        <w:t xml:space="preserve"> </w:t>
      </w:r>
      <w:r>
        <w:t xml:space="preserve">- рыночная цена товара</w:t>
      </w:r>
    </w:p>
    <w:p>
      <w:pPr>
        <w:pStyle w:val="BodyTex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- себестоимость продукта, то есть переменные издержки на производство единицы продукции</w:t>
      </w:r>
    </w:p>
    <w:p>
      <w:pPr>
        <w:pStyle w:val="BodyText"/>
      </w:pPr>
      <m:oMath>
        <m:r>
          <m:t>δ</m:t>
        </m:r>
      </m:oMath>
      <w:r>
        <w:t xml:space="preserve"> </w:t>
      </w:r>
      <w:r>
        <w:t xml:space="preserve">- доля оборотных средств, идущая на покрытие переменных издержек</w:t>
      </w:r>
    </w:p>
    <w:p>
      <w:pPr>
        <w:pStyle w:val="BodyText"/>
      </w:pPr>
      <m:oMath>
        <m:r>
          <m:t>k</m:t>
        </m:r>
      </m:oMath>
      <w:r>
        <w:t xml:space="preserve"> </w:t>
      </w:r>
      <w:r>
        <w:t xml:space="preserve">- постоянные издержки, которые не зависят от количества выпускаемой продукции</w:t>
      </w:r>
    </w:p>
    <w:p>
      <w:pPr>
        <w:pStyle w:val="BodyText"/>
      </w:pP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 </w:t>
      </w:r>
      <w:r>
        <w:t xml:space="preserve">– функция спроса, зависящая от отношения дохода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к цене</w:t>
      </w:r>
      <w:r>
        <w:t xml:space="preserve"> </w:t>
      </w:r>
      <m:oMath>
        <m:r>
          <m:t>p</m:t>
        </m:r>
      </m:oMath>
      <w:r>
        <w:t xml:space="preserve">. Она равна количеству продукта, потребляемого одним потребителем в единицу времени.</w:t>
      </w:r>
    </w:p>
    <w:p>
      <w:pPr>
        <w:pStyle w:val="BodyText"/>
      </w:pPr>
      <w:r>
        <w:t xml:space="preserve">Функцию спроса товаров долговременного использования часто представляют в простейшей форме: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времени.</w:t>
      </w:r>
      <w:r>
        <w:t xml:space="preserve"> </w:t>
      </w:r>
      <w:r>
        <w:t xml:space="preserve">Эта функция падает с ростом цены и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(критическая стоимость продукта) потребители отказываются от приобретения товара. Величина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S</m:t>
        </m:r>
        <m:r>
          <m:t>q</m:t>
        </m:r>
        <m:r>
          <m:rPr>
            <m:sty m:val="p"/>
          </m:rPr>
          <m:t>/</m:t>
        </m:r>
        <m:r>
          <m:t>k</m:t>
        </m:r>
      </m:oMath>
      <w:r>
        <w:t xml:space="preserve">.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мера эластичности функции спроса по цене. Таким образом, функция спроса является пороговой (то есть,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) и обладает свойствами насыщения.</w:t>
      </w:r>
    </w:p>
    <w:p>
      <w:pPr>
        <w:pStyle w:val="BodyText"/>
      </w:pPr>
      <w:r>
        <w:t xml:space="preserve">Уравнения динамики оборотных средств можно записать в виде: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r>
            <m:t>p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t>p</m:t>
          </m:r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w:r>
        <w:t xml:space="preserve">Уравнение для рыночной цены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представим в виде: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δ</m:t>
                  </m:r>
                </m:num>
                <m:den>
                  <m:r>
                    <m:t>τ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c</m:t>
                          </m:r>
                          <m:r>
                            <m:t>r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Первый член соответствует количеству поставляемого на рынок товара (то есть, предложению), а второй член – спросу.</w:t>
      </w:r>
      <w:r>
        <w:t xml:space="preserve"> </w:t>
      </w:r>
      <w:r>
        <w:t xml:space="preserve">Параметр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зависит от скорости оборота товаров на рынке. Как правило, время торгового оборота существенно меньше времени производственного цикла</w:t>
      </w:r>
      <w:r>
        <w:t xml:space="preserve"> </w:t>
      </w:r>
      <m:oMath>
        <m:r>
          <m:t>τ</m:t>
        </m:r>
      </m:oMath>
      <w:r>
        <w:t xml:space="preserve">. При заданном M уравнение описывает быстрое стремление цены к равновесному значению цены, которое устойчиво.</w:t>
      </w:r>
    </w:p>
    <w:p>
      <w:pPr>
        <w:pStyle w:val="BodyText"/>
      </w:pPr>
      <w:r>
        <w:t xml:space="preserve">В этом случае уравнение можно заменить алгебраическим соотношением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равновесное значение цены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равно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δ</m:t>
                  </m:r>
                </m:num>
                <m:den>
                  <m:r>
                    <m:t>τ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  <m:r>
                    <m:t>N</m:t>
                  </m:r>
                  <m:r>
                    <m:t>q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Тогда уравнения динамики оборотных средств приобретает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δ</m:t>
                      </m:r>
                    </m:num>
                    <m:den>
                      <m:r>
                        <m:t>τ</m:t>
                      </m:r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den>
                  </m:f>
                </m:e>
              </m:d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w:r>
        <w:t xml:space="preserve">Это уравнение имеет два стационарных решения, соответствующих условию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N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  <m:acc>
                <m:accPr>
                  <m:chr m:val="̃"/>
                </m:accPr>
                <m:e>
                  <m:r>
                    <m:t>p</m:t>
                  </m:r>
                </m:e>
              </m:acc>
              <m:f>
                <m:fPr>
                  <m:type m:val="bar"/>
                </m:fPr>
                <m:num>
                  <m:r>
                    <m:t>τ</m:t>
                  </m:r>
                </m:num>
                <m:den>
                  <m:r>
                    <m:t>δ</m:t>
                  </m:r>
                </m:den>
              </m:f>
            </m:e>
          </m:d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N</m:t>
          </m:r>
          <m:r>
            <m:t>q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τ</m:t>
                      </m:r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Получается, что при больших постоянных издержках (в случае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t>b</m:t>
        </m:r>
      </m:oMath>
      <w:r>
        <w:t xml:space="preserve">) стационарных состояний нет. Это означает, что в этих условиях фирма не может функционировать стабильно, то есть, терпит банкротство. Однако, как правило, постоянные затраты малы по сравнению с переменными (то есть,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) и играют роль, только в случае, когда оборотные средства малы.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стационарные значения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равны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N</m:t>
          </m:r>
          <m:r>
            <m:t>q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δ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acc>
            <m:accPr>
              <m:chr m:val="̃"/>
            </m:accPr>
            <m:e>
              <m:r>
                <m:t>p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k</m:t>
          </m:r>
          <m:acc>
            <m:accPr>
              <m:chr m:val="̃"/>
            </m:accPr>
            <m:e>
              <m:r>
                <m:t>p</m:t>
              </m:r>
            </m:e>
          </m:acc>
          <m:f>
            <m:fPr>
              <m:type m:val="bar"/>
            </m:fPr>
            <m:num>
              <m:r>
                <m:t>τ</m:t>
              </m:r>
            </m:num>
            <m:den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</m:d>
            </m:den>
          </m:f>
        </m:oMath>
      </m:oMathPara>
    </w:p>
    <w:p>
      <w:pPr>
        <w:pStyle w:val="FirstParagraph"/>
      </w:pPr>
      <w:r>
        <w:t xml:space="preserve">Первое состояние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acc>
      </m:oMath>
      <w:r>
        <w:t xml:space="preserve"> </w:t>
      </w:r>
      <w:r>
        <w:t xml:space="preserve">устойчиво и соответствует стабильному функционированию предприятия. Второе состояние \widetilde{M_{-} неустойчиво, так, что при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e>
        </m:acc>
      </m:oMath>
      <w:r>
        <w:t xml:space="preserve"> </w:t>
      </w:r>
      <w:r>
        <w:t xml:space="preserve">оборотные средства падают (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), то есть, фирма идет к банкротству. По смыслу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e>
        </m:acc>
      </m:oMath>
      <w:r>
        <w:t xml:space="preserve"> </w:t>
      </w:r>
      <w:r>
        <w:t xml:space="preserve">соответствует начальному капиталу, необходимому для входа в рынок.</w:t>
      </w:r>
    </w:p>
    <w:p>
      <w:pPr>
        <w:pStyle w:val="BodyText"/>
      </w:pPr>
      <w:r>
        <w:t xml:space="preserve">В обсуждаемой модели параметр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всюду входит в сочетании с</w:t>
      </w:r>
      <w:r>
        <w:t xml:space="preserve"> </w:t>
      </w:r>
      <m:oMath>
        <m:r>
          <m:t>τ</m:t>
        </m:r>
      </m:oMath>
      <w:r>
        <w:t xml:space="preserve">. Это значит, что уменьшение доли оборотных средств, вкладываемых в производство, эквивалентно удлинению производственного цикла. Поэтому мы в дальнейшем положим: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 а параметр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будем считать временем цикла, с учётом сказанного.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7</w:t>
      </w:r>
    </w:p>
    <w:p>
      <w:pPr>
        <w:pStyle w:val="BlockText"/>
      </w:pP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t>1</m:t>
              </m:r>
            </m:num>
            <m:den>
              <m:r>
                <m:t>c</m:t>
              </m:r>
              <m:r>
                <m:t>1</m:t>
              </m:r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</w:p>
    <w:p>
      <w:pPr>
        <w:pStyle w:val="BlockText"/>
      </w:pP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0.0016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t>1</m:t>
              </m:r>
            </m:num>
            <m:den>
              <m:r>
                <m:t>c</m:t>
              </m:r>
              <m:r>
                <m:t>1</m:t>
              </m:r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2.4</m:t>
          </m:r>
          <m:r>
            <m:t> </m:t>
          </m:r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1.7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19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t>22</m:t>
          </m:r>
          <m:r>
            <m:t> 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</m:t>
          </m:r>
          <m:r>
            <m:t> 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t> </m:t>
          </m:r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Решение с помощью программ Julia</w:t>
      </w:r>
    </w:p>
    <w:p>
      <w:pPr>
        <w:pStyle w:val="BodyText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kr = 19</w:t>
      </w:r>
      <w:r>
        <w:br/>
      </w:r>
      <w:r>
        <w:rPr>
          <w:rStyle w:val="VerbatimChar"/>
        </w:rPr>
        <w:t xml:space="preserve">t1 = 15</w:t>
      </w:r>
      <w:r>
        <w:br/>
      </w:r>
      <w:r>
        <w:rPr>
          <w:rStyle w:val="VerbatimChar"/>
        </w:rPr>
        <w:t xml:space="preserve">p1 = 12</w:t>
      </w:r>
      <w:r>
        <w:br/>
      </w:r>
      <w:r>
        <w:rPr>
          <w:rStyle w:val="VerbatimChar"/>
        </w:rPr>
        <w:t xml:space="preserve">t2 = 18</w:t>
      </w:r>
      <w:r>
        <w:br/>
      </w:r>
      <w:r>
        <w:rPr>
          <w:rStyle w:val="VerbatimChar"/>
        </w:rPr>
        <w:t xml:space="preserve">p2 = 10</w:t>
      </w:r>
      <w:r>
        <w:br/>
      </w:r>
      <w:r>
        <w:rPr>
          <w:rStyle w:val="VerbatimChar"/>
        </w:rPr>
        <w:t xml:space="preserve">N = 22</w:t>
      </w:r>
      <w:r>
        <w:br/>
      </w:r>
      <w:r>
        <w:rPr>
          <w:rStyle w:val="VerbatimChar"/>
        </w:rPr>
        <w:t xml:space="preserve">q = 1</w:t>
      </w:r>
      <w:r>
        <w:br/>
      </w:r>
      <w:r>
        <w:br/>
      </w:r>
      <w:r>
        <w:rPr>
          <w:rStyle w:val="VerbatimChar"/>
        </w:rPr>
        <w:t xml:space="preserve">a1 = kr / (t1 * t1 * p1 * p1 * N * q)</w:t>
      </w:r>
      <w:r>
        <w:br/>
      </w:r>
      <w:r>
        <w:rPr>
          <w:rStyle w:val="VerbatimChar"/>
        </w:rPr>
        <w:t xml:space="preserve">a2 = kr / (t2 * t2 * p2 * p2 * N *q)</w:t>
      </w:r>
      <w:r>
        <w:br/>
      </w:r>
      <w:r>
        <w:rPr>
          <w:rStyle w:val="VerbatimChar"/>
        </w:rPr>
        <w:t xml:space="preserve">b = kr / (t1 * t1 * t2 * t2 * p1 * p1 * p2 * p2 * N * q)</w:t>
      </w:r>
      <w:r>
        <w:br/>
      </w:r>
      <w:r>
        <w:rPr>
          <w:rStyle w:val="VerbatimChar"/>
        </w:rPr>
        <w:t xml:space="preserve">c1 = (kr - p1) / (t1 * p1)</w:t>
      </w:r>
      <w:r>
        <w:br/>
      </w:r>
      <w:r>
        <w:rPr>
          <w:rStyle w:val="VerbatimChar"/>
        </w:rPr>
        <w:t xml:space="preserve">c2 = (kr - p2) / (t2 * p2)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M1, M2 = u</w:t>
      </w:r>
      <w:r>
        <w:br/>
      </w:r>
      <w:r>
        <w:rPr>
          <w:rStyle w:val="VerbatimChar"/>
        </w:rPr>
        <w:t xml:space="preserve">    du[1] = u[1] - b / c1*u[1] * u[2] - a1 / c1*u[1] * u[1]</w:t>
      </w:r>
      <w:r>
        <w:br/>
      </w:r>
      <w:r>
        <w:rPr>
          <w:rStyle w:val="VerbatimChar"/>
        </w:rPr>
        <w:t xml:space="preserve">    du[2] = c2 / c1*u[2] - b / c1*u[1] * u[2] - a2 / c1*u[2]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[2.4, 1.7]</w:t>
      </w:r>
      <w:r>
        <w:br/>
      </w:r>
      <w:r>
        <w:rPr>
          <w:rStyle w:val="VerbatimChar"/>
        </w:rPr>
        <w:t xml:space="preserve">tspan = (0.0, 40.0)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M1 = [u[1] for u in sol.u]</w:t>
      </w:r>
      <w:r>
        <w:br/>
      </w:r>
      <w:r>
        <w:rPr>
          <w:rStyle w:val="VerbatimChar"/>
        </w:rPr>
        <w:t xml:space="preserve">M2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true)</w:t>
      </w:r>
      <w:r>
        <w:br/>
      </w:r>
      <w:r>
        <w:br/>
      </w:r>
      <w:r>
        <w:rPr>
          <w:rStyle w:val="VerbatimChar"/>
        </w:rPr>
        <w:t xml:space="preserve">plot!(plt, T, M1, label = "Оборотные средства фирмы #1", color = :green)</w:t>
      </w:r>
      <w:r>
        <w:br/>
      </w:r>
      <w:r>
        <w:br/>
      </w:r>
      <w:r>
        <w:rPr>
          <w:rStyle w:val="VerbatimChar"/>
        </w:rPr>
        <w:t xml:space="preserve">plot!(plt, T, M2, label = "Оборотные средства фирмы #2", color = :red)</w:t>
      </w:r>
      <w:r>
        <w:br/>
      </w:r>
      <w:r>
        <w:br/>
      </w:r>
      <w:r>
        <w:rPr>
          <w:rStyle w:val="VerbatimChar"/>
        </w:rPr>
        <w:t xml:space="preserve">savefig(plt, "lab8_julia_1.png")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kr = 19</w:t>
      </w:r>
      <w:r>
        <w:br/>
      </w:r>
      <w:r>
        <w:rPr>
          <w:rStyle w:val="VerbatimChar"/>
        </w:rPr>
        <w:t xml:space="preserve">t1 = 15</w:t>
      </w:r>
      <w:r>
        <w:br/>
      </w:r>
      <w:r>
        <w:rPr>
          <w:rStyle w:val="VerbatimChar"/>
        </w:rPr>
        <w:t xml:space="preserve">p1 = 12</w:t>
      </w:r>
      <w:r>
        <w:br/>
      </w:r>
      <w:r>
        <w:rPr>
          <w:rStyle w:val="VerbatimChar"/>
        </w:rPr>
        <w:t xml:space="preserve">t2 = 18</w:t>
      </w:r>
      <w:r>
        <w:br/>
      </w:r>
      <w:r>
        <w:rPr>
          <w:rStyle w:val="VerbatimChar"/>
        </w:rPr>
        <w:t xml:space="preserve">p2 = 10</w:t>
      </w:r>
      <w:r>
        <w:br/>
      </w:r>
      <w:r>
        <w:rPr>
          <w:rStyle w:val="VerbatimChar"/>
        </w:rPr>
        <w:t xml:space="preserve">N = 22</w:t>
      </w:r>
      <w:r>
        <w:br/>
      </w:r>
      <w:r>
        <w:rPr>
          <w:rStyle w:val="VerbatimChar"/>
        </w:rPr>
        <w:t xml:space="preserve">q = 1</w:t>
      </w:r>
      <w:r>
        <w:br/>
      </w:r>
      <w:r>
        <w:br/>
      </w:r>
      <w:r>
        <w:rPr>
          <w:rStyle w:val="VerbatimChar"/>
        </w:rPr>
        <w:t xml:space="preserve">a1 = kr / (t1 * t1 * p1 * p1 * N * q)</w:t>
      </w:r>
      <w:r>
        <w:br/>
      </w:r>
      <w:r>
        <w:rPr>
          <w:rStyle w:val="VerbatimChar"/>
        </w:rPr>
        <w:t xml:space="preserve">a2 = kr / (t2 * t2 * p2 * p2 * N *q)</w:t>
      </w:r>
      <w:r>
        <w:br/>
      </w:r>
      <w:r>
        <w:rPr>
          <w:rStyle w:val="VerbatimChar"/>
        </w:rPr>
        <w:t xml:space="preserve">b = kr / (t1 * t1 * t2 * t2 * p1 * p1 * p2 * p2 * N * q)</w:t>
      </w:r>
      <w:r>
        <w:br/>
      </w:r>
      <w:r>
        <w:rPr>
          <w:rStyle w:val="VerbatimChar"/>
        </w:rPr>
        <w:t xml:space="preserve">c1 = (kr - p1) / (t1 * p1)</w:t>
      </w:r>
      <w:r>
        <w:br/>
      </w:r>
      <w:r>
        <w:rPr>
          <w:rStyle w:val="VerbatimChar"/>
        </w:rPr>
        <w:t xml:space="preserve">c2 = (kr - p2) / (t2 * p2)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M1, M2 = u</w:t>
      </w:r>
      <w:r>
        <w:br/>
      </w:r>
      <w:r>
        <w:rPr>
          <w:rStyle w:val="VerbatimChar"/>
        </w:rPr>
        <w:t xml:space="preserve">    du[1] = u[1] - (b / c1 + 0.0016)*u[1] * u[2] - a1 / c1*u[1] * u[1]</w:t>
      </w:r>
      <w:r>
        <w:br/>
      </w:r>
      <w:r>
        <w:rPr>
          <w:rStyle w:val="VerbatimChar"/>
        </w:rPr>
        <w:t xml:space="preserve">    du[2] = c2 / c1*u[2] - b / c1*u[1] * u[2] - a2 / c1*u[2]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[2.4, 1.7]</w:t>
      </w:r>
      <w:r>
        <w:br/>
      </w:r>
      <w:r>
        <w:rPr>
          <w:rStyle w:val="VerbatimChar"/>
        </w:rPr>
        <w:t xml:space="preserve">tspan = (0.0, 40.0)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M1 = [u[1] for u in sol.u]</w:t>
      </w:r>
      <w:r>
        <w:br/>
      </w:r>
      <w:r>
        <w:rPr>
          <w:rStyle w:val="VerbatimChar"/>
        </w:rPr>
        <w:t xml:space="preserve">M2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:topright)</w:t>
      </w:r>
      <w:r>
        <w:br/>
      </w:r>
      <w:r>
        <w:br/>
      </w:r>
      <w:r>
        <w:rPr>
          <w:rStyle w:val="VerbatimChar"/>
        </w:rPr>
        <w:t xml:space="preserve">plot!(plt, T, M1, label = "Оборотные средства фирмы #1", color = :green)</w:t>
      </w:r>
      <w:r>
        <w:br/>
      </w:r>
      <w:r>
        <w:br/>
      </w:r>
      <w:r>
        <w:rPr>
          <w:rStyle w:val="VerbatimChar"/>
        </w:rPr>
        <w:t xml:space="preserve">plot!(plt, T, M2, label = "Оборотные средства фирмы #2", color = :red)</w:t>
      </w:r>
      <w:r>
        <w:br/>
      </w:r>
      <w:r>
        <w:br/>
      </w:r>
      <w:r>
        <w:rPr>
          <w:rStyle w:val="VerbatimChar"/>
        </w:rPr>
        <w:t xml:space="preserve">savefig(plt, "lab8_julia_2.png")</w:t>
      </w:r>
    </w:p>
    <w:p>
      <w:pPr>
        <w:pStyle w:val="FirstParagraph"/>
      </w:pPr>
      <w:r>
        <w:t xml:space="preserve">Результаты работы кода на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конкуренции двух фирм фирм для первого случая, построенный на языке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конкуренции двух фирм фирм для первого случая, построенный на языке Julia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конкуренции двух фирм для второго случая, построенный на языке Julia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конкуренции двух фирм для второго случая, построенный на языке Julia</w:t>
      </w:r>
    </w:p>
    <w:bookmarkEnd w:id="29"/>
    <w:bookmarkStart w:id="30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конкуренции двух фирм и в дальнейшем построена модель на языке Julia.</w:t>
      </w:r>
    </w:p>
    <w:bookmarkEnd w:id="30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2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Duopoly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https://en.wikipedia.org/wiki/Duopoly</w:t>
        </w:r>
      </w:hyperlink>
      <w:r>
        <w:t xml:space="preserve">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https://en.wikipedia.org/wiki/Duopo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n.wikipedia.org/wiki/Duopo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Боровиков Даниил Александрович НПИбд-01-22</dc:creator>
  <dc:language>ru-RU</dc:language>
  <cp:keywords/>
  <dcterms:created xsi:type="dcterms:W3CDTF">2025-05-31T12:10:28Z</dcterms:created>
  <dcterms:modified xsi:type="dcterms:W3CDTF">2025-05-31T12:10:28Z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