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Этап</w:t>
      </w:r>
      <w:r>
        <w:t xml:space="preserve"> </w:t>
      </w:r>
      <w:r>
        <w:t xml:space="preserve">1.</w:t>
      </w:r>
      <w:r>
        <w:t xml:space="preserve"> </w:t>
      </w:r>
      <w:r>
        <w:t xml:space="preserve">Научная</w:t>
      </w:r>
      <w:r>
        <w:t xml:space="preserve"> </w:t>
      </w:r>
      <w:r>
        <w:t xml:space="preserve">проблема</w:t>
      </w:r>
      <w:r>
        <w:t xml:space="preserve"> </w:t>
      </w:r>
      <w:r>
        <w:t xml:space="preserve">проекта</w:t>
      </w:r>
      <w:r>
        <w:t xml:space="preserve"> </w:t>
      </w:r>
      <w:r>
        <w:t xml:space="preserve">Колебания</w:t>
      </w:r>
      <w:r>
        <w:t xml:space="preserve"> </w:t>
      </w:r>
      <w:r>
        <w:t xml:space="preserve">цепочек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Александрович,</w:t>
      </w:r>
    </w:p>
    <w:p>
      <w:pPr>
        <w:pStyle w:val="Author"/>
      </w:pPr>
      <w:r>
        <w:t xml:space="preserve">Аскеров</w:t>
      </w:r>
      <w:r>
        <w:t xml:space="preserve"> </w:t>
      </w:r>
      <w:r>
        <w:t xml:space="preserve">Александр,</w:t>
      </w:r>
    </w:p>
    <w:p>
      <w:pPr>
        <w:pStyle w:val="Author"/>
      </w:pPr>
      <w:r>
        <w:t xml:space="preserve">Исаев</w:t>
      </w:r>
      <w:r>
        <w:t xml:space="preserve"> </w:t>
      </w:r>
      <w:r>
        <w:t xml:space="preserve">Булат,</w:t>
      </w:r>
    </w:p>
    <w:p>
      <w:pPr>
        <w:pStyle w:val="Author"/>
      </w:pPr>
      <w:r>
        <w:t xml:space="preserve">Гисматуллин</w:t>
      </w:r>
      <w:r>
        <w:t xml:space="preserve"> </w:t>
      </w:r>
      <w:r>
        <w:t xml:space="preserve">Артем,</w:t>
      </w:r>
    </w:p>
    <w:p>
      <w:pPr>
        <w:pStyle w:val="Author"/>
      </w:pPr>
      <w:r>
        <w:t xml:space="preserve">Хрусталев</w:t>
      </w:r>
      <w:r>
        <w:t xml:space="preserve"> </w:t>
      </w:r>
      <w:r>
        <w:t xml:space="preserve">Влад</w:t>
      </w:r>
      <w:r>
        <w:t xml:space="preserve"> </w:t>
      </w:r>
      <w:r>
        <w:t xml:space="preserve">Николаевич,</w:t>
      </w:r>
    </w:p>
    <w:p>
      <w:pPr>
        <w:pStyle w:val="Author"/>
      </w:pPr>
      <w:r>
        <w:t xml:space="preserve">Чесноков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Тема колебаний цепочек представляет собой фундаментальную задачу физики твердого тела и нелинейной динамики. Все тела состоят из атомов, каждый из которых обладает тремя степенями свободы. В кристаллических структурах большинство этих степеней свободы связано с колебательными движениями. Согласно термодинамике, в состоянии теплового равновесия на каждую колебательную степень свободы приходится энергия</w:t>
      </w:r>
      <w:r>
        <w:t xml:space="preserve"> </w:t>
      </w:r>
      <m:oMath>
        <m:r>
          <m:t>k</m:t>
        </m:r>
        <m:r>
          <m:t>T</m:t>
        </m:r>
      </m:oMath>
      <w:r>
        <w:t xml:space="preserve">, что приводит к молярной теплоёмкости кристалла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3</m:t>
        </m:r>
        <m:r>
          <m:t>R</m:t>
        </m:r>
      </m:oMath>
      <w:r>
        <w:t xml:space="preserve"> </w:t>
      </w:r>
      <w:r>
        <w:t xml:space="preserve">(закон Дюлонга и Пти). Однако для понимания процессов достижения равновесия и особенностей колебаний требуется изучение модельных систем, таких как одномерные цепочки частиц. В рамках данного проекта рассматриваются как гармонические, так и ангармонические цепочки, включая знаменитую задачу Ферми-Паста-Улама (FPU), а также методы анализа с использованием преобразования Фурье.</w:t>
      </w:r>
    </w:p>
    <w:bookmarkEnd w:id="20"/>
    <w:bookmarkStart w:id="21" w:name="гармоническая-цепочка-модель-и-реш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Гармоническая цепочка: модель и решение</w:t>
      </w:r>
    </w:p>
    <w:p>
      <w:pPr>
        <w:pStyle w:val="FirstParagraph"/>
      </w:pPr>
      <w:r>
        <w:t xml:space="preserve">Гармоническая цепочка представляет собой простейшую одномерную модель твердого тела. Она состоит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точечных частиц массой</w:t>
      </w:r>
      <w:r>
        <w:t xml:space="preserve"> </w:t>
      </w:r>
      <m:oMath>
        <m:r>
          <m:t>m</m:t>
        </m:r>
      </m:oMath>
      <w:r>
        <w:t xml:space="preserve">, соединённых пружинами с жёсткостью</w:t>
      </w:r>
      <w:r>
        <w:t xml:space="preserve"> </w:t>
      </w:r>
      <m:oMath>
        <m:r>
          <m:t>k</m:t>
        </m:r>
      </m:oMath>
      <w:r>
        <w:t xml:space="preserve">. Крайние частицы прикреплены к неподвижным стенкам, что даёт общее количество пружин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каждая длиной</w:t>
      </w:r>
      <w:r>
        <w:t xml:space="preserve"> </w:t>
      </w:r>
      <m:oMath>
        <m:r>
          <m:t>d</m:t>
        </m:r>
      </m:oMath>
      <w:r>
        <w:t xml:space="preserve">. Частицы могут двигаться только вдоль одной оси, а их равновесные положения задаются как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i</m:t>
        </m:r>
        <m:r>
          <m:t>d</m:t>
        </m:r>
      </m:oMath>
      <w:r>
        <w:t xml:space="preserve">. Смещения частиц от равновесия обозначаются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причём предполагается, что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≪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Сила, действующая на</w:t>
      </w:r>
      <w:r>
        <w:t xml:space="preserve"> </w:t>
      </w:r>
      <m:oMath>
        <m:r>
          <m:t>i</m:t>
        </m:r>
      </m:oMath>
      <w:r>
        <w:t xml:space="preserve">-ю частицу, определяется разностью смещений соседних частиц:</w:t>
      </w:r>
    </w:p>
    <w:p>
      <w:pPr>
        <w:pStyle w:val="BodyText"/>
      </w:pP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k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−</m:t>
        </m:r>
        <m:r>
          <m:t>k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k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</m:oMath>
    </w:p>
    <w:p>
      <w:pPr>
        <w:pStyle w:val="BodyText"/>
      </w:pPr>
      <w:r>
        <w:t xml:space="preserve">Уравнение движения для</w:t>
      </w:r>
      <w:r>
        <w:t xml:space="preserve"> </w:t>
      </w:r>
      <m:oMath>
        <m:r>
          <m:t>i</m:t>
        </m:r>
      </m:oMath>
      <w:r>
        <w:t xml:space="preserve">-й частицы записывается как:</w:t>
      </w:r>
    </w:p>
    <w:p>
      <w:pPr>
        <w:pStyle w:val="BodyText"/>
      </w:pPr>
      <m:oMath>
        <m:r>
          <m:t>m</m:t>
        </m:r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num>
          <m:den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k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 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</w:p>
    <w:p>
      <w:pPr>
        <w:pStyle w:val="BodyText"/>
      </w:pPr>
      <w:r>
        <w:t xml:space="preserve">Полная энергия системы включает кинетическую и потенциальную составляющие:</w:t>
      </w:r>
    </w:p>
    <w:p>
      <w:pPr>
        <w:pStyle w:val="BodyText"/>
      </w:pP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</w:p>
    <w:p>
      <w:pPr>
        <w:pStyle w:val="BodyText"/>
      </w:pPr>
      <w:r>
        <w:t xml:space="preserve">Решение уравнений движения представлено в виде стоячих волн:</w:t>
      </w:r>
    </w:p>
    <w:p>
      <w:pPr>
        <w:pStyle w:val="BodyText"/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d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t</m:t>
            </m:r>
          </m:e>
        </m:d>
      </m:oMath>
    </w:p>
    <w:p>
      <w:pPr>
        <w:pStyle w:val="BodyText"/>
      </w:pPr>
      <w:r>
        <w:t xml:space="preserve">где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волновое число,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— частота колебаний. Граничные условия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приводят 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d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что даёт дискретный набор волновых чисел: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t>π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d</m:t>
            </m:r>
          </m:den>
        </m:f>
        <m:r>
          <m:rPr>
            <m:sty m:val="p"/>
          </m:rPr>
          <m:t>,</m:t>
        </m:r>
        <m:r>
          <m:t> 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</w:p>
    <w:p>
      <w:pPr>
        <w:pStyle w:val="BodyText"/>
      </w:pPr>
      <w:r>
        <w:t xml:space="preserve">Подстановка в уравнение движения позволяет найти дисперсионное соотношение:</w:t>
      </w:r>
    </w:p>
    <w:p>
      <w:pPr>
        <w:pStyle w:val="BodyText"/>
      </w:pPr>
      <m:oMath>
        <m:sSub>
          <m:e>
            <m:r>
              <m:t>ω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l</m:t>
                </m:r>
                <m:r>
                  <m:t>π</m:t>
                </m:r>
              </m:num>
              <m:den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den>
            </m:f>
          </m:e>
        </m:d>
        <m:r>
          <m:rPr>
            <m:sty m:val="p"/>
          </m:rPr>
          <m:t>,</m:t>
        </m:r>
        <m:r>
          <m:t> 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m</m:t>
                </m:r>
              </m:den>
            </m:f>
          </m:e>
        </m:rad>
      </m:oMath>
    </w:p>
    <w:p>
      <w:pPr>
        <w:pStyle w:val="BodyText"/>
      </w:pPr>
      <w:r>
        <w:t xml:space="preserve">Эти решения описывают независимые стоячие волны (собственные моды), которые в гармонической модели не взаимодействуют друг с другом. Основной мод соответствует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а остальные — обертоны.</w:t>
      </w:r>
      <w:r>
        <w:t xml:space="preserve">[1]</w:t>
      </w:r>
    </w:p>
    <w:bookmarkEnd w:id="21"/>
    <w:bookmarkStart w:id="22" w:name="X67042a6e8dfdc4c2a9644e06362619712bf2eff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Ангармоническая цепочка: задача Ферми-Паста-Улама</w:t>
      </w:r>
    </w:p>
    <w:p>
      <w:pPr>
        <w:pStyle w:val="FirstParagraph"/>
      </w:pPr>
      <w:r>
        <w:t xml:space="preserve">Реальные системы редко подчиняются строго линейным законам. Для больших деформаций сила упругости отклоняется от линейного выражения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x</m:t>
        </m:r>
      </m:oMath>
      <w:r>
        <w:t xml:space="preserve">. В ангармонической модели сила записывается с учётом нелинейного члена:</w:t>
      </w:r>
    </w:p>
    <w:p>
      <w:pPr>
        <w:pStyle w:val="BodyText"/>
      </w:pP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α</m:t>
                </m:r>
                <m:r>
                  <m:t>x</m:t>
                </m:r>
              </m:num>
              <m:den>
                <m:r>
                  <m:t>d</m:t>
                </m:r>
              </m:den>
            </m:f>
          </m:e>
        </m:d>
      </m:oMath>
    </w:p>
    <w:p>
      <w:pPr>
        <w:pStyle w:val="BodyText"/>
      </w:pPr>
      <w:r>
        <w:t xml:space="preserve">где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безразмерный коэффициент. Энергия системы принимает вид:</w:t>
      </w:r>
    </w:p>
    <w:p>
      <w:pPr>
        <w:pStyle w:val="BodyText"/>
      </w:pP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  <m:r>
              <m:t>α</m:t>
            </m:r>
          </m:num>
          <m:den>
            <m:r>
              <m:t>3</m:t>
            </m:r>
            <m:r>
              <m:t>d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3</m:t>
                </m:r>
              </m:sup>
            </m:sSup>
          </m:e>
        </m:nary>
      </m:oMath>
    </w:p>
    <w:p>
      <w:pPr>
        <w:pStyle w:val="BodyText"/>
      </w:pPr>
      <w:r>
        <w:t xml:space="preserve">Эта модель была впервые исследована в задаче Ферми-Паста-Улама (FPU) в 1950-х годах с использованием численного моделирования на компьютере MANIAC-I. Ожидалось, что из-за нелинейности энергия, первоначально сосредоточенная в одной моде, со временем равномерно распределится по всем собственным модам, что соответствует термализации. Однако результаты оказались неожиданными: энергия не распределялась равномерно, а передавалась лишь между несколькими модами (в расчёте с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моды с</w:t>
      </w:r>
      <w:r>
        <w:t xml:space="preserve"> </w:t>
      </w:r>
      <m:oMath>
        <m:r>
          <m:t>l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получали менее 1% энергии).</w:t>
      </w:r>
      <w:r>
        <w:t xml:space="preserve">[2]</w:t>
      </w:r>
      <w:r>
        <w:t xml:space="preserve"> </w:t>
      </w:r>
      <w:r>
        <w:t xml:space="preserve">Более того, система демонстрировала квазипериодическое поведение, возвращаясь к начальному состоянию через определённые интервалы (например, 160 периодов основной моды).</w:t>
      </w:r>
    </w:p>
    <w:p>
      <w:pPr>
        <w:pStyle w:val="BodyText"/>
      </w:pPr>
      <w:r>
        <w:t xml:space="preserve">Долгосрочные расчёты выявили сверхпериодичность: после нескольких</w:t>
      </w:r>
      <w:r>
        <w:t xml:space="preserve"> </w:t>
      </w:r>
      <w:r>
        <w:t xml:space="preserve">“</w:t>
      </w:r>
      <w:r>
        <w:t xml:space="preserve">больших периодов</w:t>
      </w:r>
      <w:r>
        <w:t xml:space="preserve">”</w:t>
      </w:r>
      <w:r>
        <w:t xml:space="preserve"> </w:t>
      </w:r>
      <w:r>
        <w:t xml:space="preserve">система почти полностью возвращалась к начальному состоянию (до 98% энергии). Это открытие стало стимулом для развития теории нелинейных динамических систем и численного моделирования в физике.</w:t>
      </w:r>
    </w:p>
    <w:bookmarkEnd w:id="22"/>
    <w:bookmarkStart w:id="23" w:name="преобразование-фурье-инструмент-анализ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Преобразование Фурье: инструмент анализа</w:t>
      </w:r>
    </w:p>
    <w:p>
      <w:pPr>
        <w:pStyle w:val="FirstParagraph"/>
      </w:pPr>
      <w:r>
        <w:t xml:space="preserve">Для анализа колебаний цепочек используется преобразование Фурье. Непрерывное преобразование раскладывает периодическую функцию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с периодом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в ряд:</w:t>
      </w:r>
      <w:r>
        <w:br/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l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π</m:t>
                        </m:r>
                        <m:r>
                          <m:t>l</m:t>
                        </m:r>
                      </m:num>
                      <m:den>
                        <m:r>
                          <m:t>L</m:t>
                        </m:r>
                      </m:den>
                    </m:f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π</m:t>
                        </m:r>
                        <m:r>
                          <m:t>l</m:t>
                        </m:r>
                      </m:num>
                      <m:den>
                        <m:r>
                          <m:t>L</m:t>
                        </m:r>
                      </m:den>
                    </m:f>
                    <m:r>
                      <m:t>x</m:t>
                    </m:r>
                  </m:e>
                </m:d>
              </m:e>
            </m:d>
          </m:e>
        </m:nary>
      </m:oMath>
      <w:r>
        <w:br/>
      </w:r>
      <w:r>
        <w:t xml:space="preserve">где коэффициенты</w:t>
      </w:r>
      <w:r>
        <w:t xml:space="preserve"> </w:t>
      </w:r>
      <m:oMath>
        <m:sSub>
          <m:e>
            <m:r>
              <m:t>a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b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вычисляются через интегралы. В численном моделировании применяется дискретное преобразование Фурье (DFT), где функция задана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точках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j</m:t>
            </m:r>
            <m:r>
              <m:t>L</m:t>
            </m:r>
          </m:num>
          <m:den>
            <m:r>
              <m:t>N</m:t>
            </m:r>
          </m:den>
        </m:f>
      </m:oMath>
      <w:r>
        <w:t xml:space="preserve">:</w:t>
      </w:r>
      <w:r>
        <w:br/>
      </w:r>
      <m:oMath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l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π</m:t>
                        </m:r>
                        <m:r>
                          <m:t>l</m:t>
                        </m:r>
                      </m:num>
                      <m:den>
                        <m:r>
                          <m:t>L</m:t>
                        </m:r>
                      </m:den>
                    </m:f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π</m:t>
                        </m:r>
                        <m:r>
                          <m:t>l</m:t>
                        </m:r>
                      </m:num>
                      <m:den>
                        <m:r>
                          <m:t>L</m:t>
                        </m:r>
                      </m:den>
                    </m:f>
                    <m:r>
                      <m:t>x</m:t>
                    </m:r>
                  </m:e>
                </m:d>
              </m:e>
            </m:d>
          </m:e>
        </m:nary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  <m:r>
                  <m:t>n</m:t>
                </m:r>
              </m:num>
              <m:den>
                <m:r>
                  <m:t>L</m:t>
                </m:r>
              </m:den>
            </m:f>
            <m:r>
              <m:t>x</m:t>
            </m:r>
          </m:e>
        </m:d>
      </m:oMath>
      <w:r>
        <w:br/>
      </w:r>
      <w:r>
        <w:t xml:space="preserve">с коэффициентами, определяемыми суммами. Это позволяет исследовать спектральное распределение энергии по модам и проверять гипотезы о термализации.</w:t>
      </w:r>
      <w:r>
        <w:t xml:space="preserve">[3]</w:t>
      </w:r>
    </w:p>
    <w:bookmarkEnd w:id="23"/>
    <w:bookmarkStart w:id="24" w:name="научная-проблема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Научная проблема</w:t>
      </w:r>
    </w:p>
    <w:p>
      <w:pPr>
        <w:pStyle w:val="FirstParagraph"/>
      </w:pPr>
      <w:r>
        <w:t xml:space="preserve">Основная научная проблема проекта заключается в изучении условий достижения теплового равновесия в системах с колебаниями. В гармонической цепочке моды независимы, и энергия между ними не перераспределяется. В ангармонической модели ожидается термализация за счёт нелинейных взаимодействий, однако задача FPU показала, что этого не происходит в полной мере, а система демонстрирует квазипериодичность и сверхпериодичность. Это ставит вопрос: какие факторы (число частиц, величина нелинейности, начальные условия) определяют переход к равновесию, и каковы временные масштабы этого процесса? Решение требует сочетания аналитических методов, численного моделирования и спектрального анализа.</w:t>
      </w:r>
    </w:p>
    <w:bookmarkEnd w:id="24"/>
    <w:bookmarkStart w:id="25" w:name="заключение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Проект</w:t>
      </w:r>
      <w:r>
        <w:t xml:space="preserve"> </w:t>
      </w:r>
      <w:r>
        <w:t xml:space="preserve">“</w:t>
      </w:r>
      <w:r>
        <w:t xml:space="preserve">Колебания цепочек</w:t>
      </w:r>
      <w:r>
        <w:t xml:space="preserve">”</w:t>
      </w:r>
      <w:r>
        <w:t xml:space="preserve"> </w:t>
      </w:r>
      <w:r>
        <w:t xml:space="preserve">демонстрирует сложность перехода от идеализированных моделей к реальным системам. Гармоническая цепочка даёт базовое понимание собственных мод, тогда как ангармоническая модель и задача FPU раскрывают неожиданные свойства нелинейной динамики. Эти исследования имеют значение не только для физики твердого тела, но и для развития методов численного моделирования и анализа сложных систем.</w:t>
      </w:r>
    </w:p>
    <w:bookmarkEnd w:id="25"/>
    <w:bookmarkStart w:id="30" w:name="список-литературы"/>
    <w:p>
      <w:pPr>
        <w:pStyle w:val="Heading1"/>
      </w:pPr>
      <w:r>
        <w:t xml:space="preserve">Список литературы</w:t>
      </w:r>
    </w:p>
    <w:bookmarkStart w:id="29" w:name="refs"/>
    <w:bookmarkStart w:id="26" w:name="ref-medved:2010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Медведев Д.А. и др.</w:t>
      </w:r>
      <w:r>
        <w:t xml:space="preserve"> </w:t>
      </w:r>
      <w:r>
        <w:t xml:space="preserve">Моделирование физических процессов и явлений на ПК: Учеб. пособие</w:t>
      </w:r>
      <w:r>
        <w:t xml:space="preserve">. Новосибирск: Новосиб. гос. ун-т, 2010. 101 с.</w:t>
      </w:r>
    </w:p>
    <w:bookmarkEnd w:id="26"/>
    <w:bookmarkStart w:id="27" w:name="ref-andronov:1981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А. А.А., А. В.А., Э. Х.С.</w:t>
      </w:r>
      <w:r>
        <w:t xml:space="preserve"> </w:t>
      </w:r>
      <w:r>
        <w:t xml:space="preserve">Теория колебаний</w:t>
      </w:r>
      <w:r>
        <w:t xml:space="preserve">. М: ФИЗМАТЛИТ, 1981. 918 с.</w:t>
      </w:r>
    </w:p>
    <w:bookmarkEnd w:id="27"/>
    <w:bookmarkStart w:id="28" w:name="ref-landsberg:2003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С. Л.Г.</w:t>
      </w:r>
      <w:r>
        <w:t xml:space="preserve"> </w:t>
      </w:r>
      <w:r>
        <w:t xml:space="preserve">Моделирование физических процессов и явлений на ПК: Учеб. пособие</w:t>
      </w:r>
      <w:r>
        <w:t xml:space="preserve">. М: ФИЗМАТЛИТ, 2003. 656 с.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1. Научная проблема проекта Колебания цепочек</dc:title>
  <dc:creator>Боровиков Даниил Александрович,; Аскеров Александр,; Исаев Булат,; Гисматуллин Артем,; Хрусталев Влад Николаевич,; Чесноков Артем</dc:creator>
  <dc:language>ru-RU</dc:language>
  <cp:keywords/>
  <dcterms:created xsi:type="dcterms:W3CDTF">2025-03-22T16:01:37Z</dcterms:created>
  <dcterms:modified xsi:type="dcterms:W3CDTF">2025-03-22T16:01:37Z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Математическое моделирование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