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Добавить в локальную сеть маршрутизатор, провести его первоначальную</w:t>
      </w:r>
      <w:r>
        <w:t xml:space="preserve"> </w:t>
      </w:r>
      <w:r>
        <w:t xml:space="preserve">настройку.</w:t>
      </w:r>
    </w:p>
    <w:p>
      <w:pPr>
        <w:numPr>
          <w:ilvl w:val="0"/>
          <w:numId w:val="1001"/>
        </w:numPr>
      </w:pPr>
      <w:r>
        <w:t xml:space="preserve">Настроить статическую маршрутизацию VLAN</w:t>
      </w:r>
      <w:r>
        <w:t xml:space="preserve">[1]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</w:t>
      </w:r>
    </w:p>
    <w:bookmarkEnd w:id="21"/>
    <w:bookmarkStart w:id="4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логической области проекта разместим маршрутизатор Cisco 2811, подключим его к порту 24 коммутатора msk-donskaya-sw-1 (рис. 1)</w:t>
      </w:r>
    </w:p>
    <w:p>
      <w:pPr>
        <w:pStyle w:val="CaptionedFigure"/>
      </w:pPr>
      <w:r>
        <w:drawing>
          <wp:inline>
            <wp:extent cx="3733800" cy="2224046"/>
            <wp:effectExtent b="0" l="0" r="0" t="0"/>
            <wp:docPr descr="Размещение маршрутизатора Cisco 281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4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Размещение маршрутизатора Cisco 2811</w:t>
      </w:r>
    </w:p>
    <w:p>
      <w:pPr>
        <w:pStyle w:val="BodyText"/>
      </w:pPr>
      <w:r>
        <w:t xml:space="preserve">Используя приведённую ниже последовательность команд по первоначальной настройке маршрутизатора, сконфигурируем маршрутизатор, задав на</w:t>
      </w:r>
      <w:r>
        <w:t xml:space="preserve"> </w:t>
      </w:r>
      <w:r>
        <w:t xml:space="preserve">нём имя, пароль для доступа к консоли, настроим удалённое подключение</w:t>
      </w:r>
      <w:r>
        <w:t xml:space="preserve"> </w:t>
      </w:r>
      <w:r>
        <w:t xml:space="preserve">к нему по ssh(рис. 2).</w:t>
      </w:r>
    </w:p>
    <w:p>
      <w:pPr>
        <w:pStyle w:val="CaptionedFigure"/>
      </w:pPr>
      <w:r>
        <w:drawing>
          <wp:inline>
            <wp:extent cx="3733800" cy="2346142"/>
            <wp:effectExtent b="0" l="0" r="0" t="0"/>
            <wp:docPr descr="Конфигурирование маршрутизатора, удаленной подключение ssh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6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Конфигурирование маршрутизатора, удаленной подключение ssh</w:t>
      </w:r>
    </w:p>
    <w:p>
      <w:pPr>
        <w:pStyle w:val="BodyText"/>
      </w:pPr>
      <w:r>
        <w:t xml:space="preserve">Настроим порт 24 коммутатора msk-donskaya-sw-1 как trunk-порт.(рис. 3).</w:t>
      </w:r>
    </w:p>
    <w:p>
      <w:pPr>
        <w:pStyle w:val="CaptionedFigure"/>
      </w:pPr>
      <w:r>
        <w:drawing>
          <wp:inline>
            <wp:extent cx="3733800" cy="1329649"/>
            <wp:effectExtent b="0" l="0" r="0" t="0"/>
            <wp:docPr descr="Порт 24 как trunk-порт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9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Порт 24 как trunk-порт</w:t>
      </w:r>
    </w:p>
    <w:p>
      <w:pPr>
        <w:pStyle w:val="BodyText"/>
      </w:pPr>
      <w:r>
        <w:t xml:space="preserve">Переименуем маршрутизатор(рис. 4).</w:t>
      </w:r>
    </w:p>
    <w:p>
      <w:pPr>
        <w:pStyle w:val="CaptionedFigure"/>
      </w:pPr>
      <w:r>
        <w:drawing>
          <wp:inline>
            <wp:extent cx="3733800" cy="2074724"/>
            <wp:effectExtent b="0" l="0" r="0" t="0"/>
            <wp:docPr descr="Переименование маршрутизатор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Переименование маршрутизатора</w:t>
      </w:r>
    </w:p>
    <w:p>
      <w:pPr>
        <w:pStyle w:val="BodyText"/>
      </w:pPr>
      <w:r>
        <w:t xml:space="preserve">На интерфейсе f0/0 маршрутизатора msk-donskaya-gw-1 настроим виртуальные интерфейсы, соответствующие номерам VLAN. Зададим соответствующие IP-адреса</w:t>
      </w:r>
      <w:r>
        <w:t xml:space="preserve"> </w:t>
      </w:r>
      <w:r>
        <w:t xml:space="preserve">на виртуальных интерфейсах. Для этого используем приведённую ниже</w:t>
      </w:r>
      <w:r>
        <w:t xml:space="preserve"> </w:t>
      </w:r>
      <w:r>
        <w:t xml:space="preserve">последовательность команд по конфигурации VLAN-интерфейсов маршрутизатора.(рис. 5).</w:t>
      </w:r>
    </w:p>
    <w:p>
      <w:pPr>
        <w:pStyle w:val="CaptionedFigure"/>
      </w:pPr>
      <w:r>
        <w:drawing>
          <wp:inline>
            <wp:extent cx="3733800" cy="3570068"/>
            <wp:effectExtent b="0" l="0" r="0" t="0"/>
            <wp:docPr descr="Настроим виртуальные интерфейсы, соответствующие номерам VLAN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0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Настроим виртуальные интерфейсы, соответствующие номерам VLAN</w:t>
      </w:r>
    </w:p>
    <w:p>
      <w:pPr>
        <w:pStyle w:val="BodyText"/>
      </w:pPr>
      <w:r>
        <w:t xml:space="preserve">Проверим доступность оконечных устройств из разных VLAN.(рис. 6).</w:t>
      </w:r>
    </w:p>
    <w:p>
      <w:pPr>
        <w:pStyle w:val="CaptionedFigure"/>
      </w:pPr>
      <w:r>
        <w:drawing>
          <wp:inline>
            <wp:extent cx="3733800" cy="3304627"/>
            <wp:effectExtent b="0" l="0" r="0" t="0"/>
            <wp:docPr descr="ping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4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ping</w:t>
      </w:r>
    </w:p>
    <w:p>
      <w:pPr>
        <w:pStyle w:val="BodyText"/>
      </w:pPr>
      <w:r>
        <w:t xml:space="preserve">Используя режим симуляции в Packet Tracer, изучиv процесс передвижения пакета ICMP по сети. (рис. 7).</w:t>
      </w:r>
    </w:p>
    <w:p>
      <w:pPr>
        <w:pStyle w:val="CaptionedFigure"/>
      </w:pPr>
      <w:r>
        <w:drawing>
          <wp:inline>
            <wp:extent cx="3733800" cy="1514530"/>
            <wp:effectExtent b="0" l="0" r="0" t="0"/>
            <wp:docPr descr="Процесс передвижения пакета ICMP по сети.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4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Процесс передвижения пакета ICMP по сети.</w:t>
      </w:r>
    </w:p>
    <w:p>
      <w:pPr>
        <w:pStyle w:val="BodyText"/>
      </w:pPr>
      <w:r>
        <w:t xml:space="preserve">Изучим содержимое передаваемого пакета</w:t>
      </w:r>
      <w:r>
        <w:t xml:space="preserve"> </w:t>
      </w:r>
      <w:r>
        <w:t xml:space="preserve">и заголовки задействованных протоколов.(рис. 8)</w:t>
      </w:r>
    </w:p>
    <w:p>
      <w:pPr>
        <w:pStyle w:val="CaptionedFigure"/>
      </w:pPr>
      <w:r>
        <w:drawing>
          <wp:inline>
            <wp:extent cx="3733800" cy="2296901"/>
            <wp:effectExtent b="0" l="0" r="0" t="0"/>
            <wp:docPr descr="Содержимое передаваемого пакет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Содержимое передаваемого пакета</w:t>
      </w:r>
    </w:p>
    <w:bookmarkStart w:id="46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Охарактеризуйте стандарт IEEE 802.1Q.</w:t>
      </w:r>
    </w:p>
    <w:p>
      <w:pPr>
        <w:pStyle w:val="BodyText"/>
      </w:pPr>
      <w:r>
        <w:t xml:space="preserve">Стандарт IEEE 802.1Q — это сетевой стандарт, разработанный для реализации технологии VLAN (Virtual Local Area Network) в Ethernet-сетях. Он позволяет разделять физическую сеть на несколько логических сетей, обеспечивая изоляцию трафика и повышая эффективность использования ресурсов. Основная идея заключается во внедрении тега VLAN в кадр Ethernet, что позволяет коммутаторам идентифицировать, к какой VLAN относится конкретный кадр. IEEE 802.1Q поддерживает до 4096 виртуальных сетей (идентификаторы VLAN от 0 до 4095), хотя 0 и 4095 обычно зарезервированы. Этот стандарт широко используется в корпоративных сетях для сегментации трафика, повышения безопасности и управления пропускной способностью.</w:t>
      </w:r>
    </w:p>
    <w:p>
      <w:pPr>
        <w:pStyle w:val="BodyText"/>
      </w:pPr>
      <w:r>
        <w:rPr>
          <w:b/>
          <w:bCs/>
        </w:rPr>
        <w:t xml:space="preserve">2. Опишите формат кадра IEEE 802.1Q.</w:t>
      </w:r>
    </w:p>
    <w:p>
      <w:pPr>
        <w:pStyle w:val="BodyText"/>
      </w:pPr>
      <w:r>
        <w:t xml:space="preserve">Кадр IEEE 802.1Q представляет собой модифицированный кадр Ethernet, в который добавлен тег VLAN длиной 4 байта. Формат кадра выглядит следующим образом: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Преамбула (7 байт)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SFD (Start Frame Delimiter, 1 байт)</w:t>
      </w:r>
      <w:r>
        <w:t xml:space="preserve"> </w:t>
      </w:r>
      <w:r>
        <w:t xml:space="preserve">— стандартные поля Ethernet для синхронизации.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MAC-адрес получателя (6 байт)</w:t>
      </w:r>
      <w:r>
        <w:t xml:space="preserve"> </w:t>
      </w:r>
      <w:r>
        <w:t xml:space="preserve">— адрес устройства-получателя.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MAC-адрес отправителя (6 байт)</w:t>
      </w:r>
      <w:r>
        <w:t xml:space="preserve"> </w:t>
      </w:r>
      <w:r>
        <w:t xml:space="preserve">— адрес устройства-отправителя.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Тег 802.1Q (4 байта)</w:t>
      </w:r>
      <w:r>
        <w:t xml:space="preserve">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TPID (Tag Protocol Identifier, 2 байта)</w:t>
      </w:r>
      <w:r>
        <w:t xml:space="preserve"> </w:t>
      </w:r>
      <w:r>
        <w:t xml:space="preserve">— идентификатор протокола тега, обычно равен 0x8100, указывает на использование 802.1Q.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TCI (Tag Control Information, 2 байта)</w:t>
      </w:r>
      <w:r>
        <w:t xml:space="preserve">:</w:t>
      </w:r>
    </w:p>
    <w:p>
      <w:pPr>
        <w:numPr>
          <w:ilvl w:val="2"/>
          <w:numId w:val="1004"/>
        </w:numPr>
      </w:pPr>
      <w:r>
        <w:rPr>
          <w:b/>
          <w:bCs/>
        </w:rPr>
        <w:t xml:space="preserve">PCP (Priority Code Point, 3 бита)</w:t>
      </w:r>
      <w:r>
        <w:t xml:space="preserve"> </w:t>
      </w:r>
      <w:r>
        <w:t xml:space="preserve">— приоритет кадра (0–7) для QoS.</w:t>
      </w:r>
    </w:p>
    <w:p>
      <w:pPr>
        <w:numPr>
          <w:ilvl w:val="2"/>
          <w:numId w:val="1004"/>
        </w:numPr>
      </w:pPr>
      <w:r>
        <w:rPr>
          <w:b/>
          <w:bCs/>
        </w:rPr>
        <w:t xml:space="preserve">DEI (Drop Eligible Indicator, 1 бит)</w:t>
      </w:r>
      <w:r>
        <w:t xml:space="preserve"> </w:t>
      </w:r>
      <w:r>
        <w:t xml:space="preserve">— индикатор возможности отбрасывания кадра при перегрузке.</w:t>
      </w:r>
    </w:p>
    <w:p>
      <w:pPr>
        <w:numPr>
          <w:ilvl w:val="2"/>
          <w:numId w:val="1004"/>
        </w:numPr>
      </w:pPr>
      <w:r>
        <w:rPr>
          <w:b/>
          <w:bCs/>
        </w:rPr>
        <w:t xml:space="preserve">VID (VLAN Identifier, 12 бит)</w:t>
      </w:r>
      <w:r>
        <w:t xml:space="preserve"> </w:t>
      </w:r>
      <w:r>
        <w:t xml:space="preserve">— идентификатор VLAN (0–4095).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Тип/длина (2 байта)</w:t>
      </w:r>
      <w:r>
        <w:t xml:space="preserve"> </w:t>
      </w:r>
      <w:r>
        <w:t xml:space="preserve">— указывает тип данных или длину полезной нагрузки.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Данные (46–1500 байт)</w:t>
      </w:r>
      <w:r>
        <w:t xml:space="preserve"> </w:t>
      </w:r>
      <w:r>
        <w:t xml:space="preserve">— полезная нагрузка кадра.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FCS (Frame Check Sequence, 4 байта)</w:t>
      </w:r>
      <w:r>
        <w:t xml:space="preserve"> </w:t>
      </w:r>
      <w:r>
        <w:t xml:space="preserve">— контрольная сумма для проверки целостности кадра.</w:t>
      </w:r>
    </w:p>
    <w:p>
      <w:pPr>
        <w:pStyle w:val="FirstParagraph"/>
      </w:pPr>
      <w:r>
        <w:t xml:space="preserve">Тег 802.1Q вставляется между полями MAC-адреса отправителя и Тип/длина, увеличивая максимальную длину кадра с 1518 до 1522 байт.</w:t>
      </w:r>
    </w:p>
    <w:bookmarkEnd w:id="46"/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приобрел практические навыки по настройке статической маршрутизации VLAN в сети.</w:t>
      </w:r>
    </w:p>
    <w:bookmarkEnd w:id="48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bookmarkStart w:id="50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VLAN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49">
        <w:r>
          <w:rPr>
            <w:rStyle w:val="Hyperlink"/>
          </w:rPr>
          <w:t xml:space="preserve">https://ru.wikipedia.org/wiki/VLAN</w:t>
        </w:r>
      </w:hyperlink>
      <w:r>
        <w:t xml:space="preserve">.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hyperlink" Id="rId49" Target="https://ru.wikipedia.org/wiki/VL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ru.wikipedia.org/wiki/VL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Боровиков Даниил Александрович НПИбд-01-22</dc:creator>
  <dc:language>ru-RU</dc:language>
  <cp:keywords/>
  <dcterms:created xsi:type="dcterms:W3CDTF">2025-03-22T12:11:06Z</dcterms:created>
  <dcterms:modified xsi:type="dcterms:W3CDTF">2025-03-22T12:11:06Z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