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Боровиков</w:t>
      </w:r>
      <w:r>
        <w:t xml:space="preserve"> </w:t>
      </w:r>
      <w:r>
        <w:t xml:space="preserve">Даниил</w:t>
      </w:r>
      <w:r>
        <w:t xml:space="preserve"> </w:t>
      </w:r>
      <w:r>
        <w:t xml:space="preserve">Александрович</w:t>
      </w:r>
      <w:r>
        <w:t xml:space="preserve"> </w:t>
      </w:r>
      <w:r>
        <w:t xml:space="preserve">НПИбд-01-22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VPN-туннеля через незащищённое Интернет-соединение.</w:t>
      </w:r>
    </w:p>
    <w:bookmarkEnd w:id="20"/>
    <w:bookmarkStart w:id="6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Разместим в рабочей области проекта в соответствии с модельными</w:t>
      </w:r>
      <w:r>
        <w:t xml:space="preserve"> </w:t>
      </w:r>
      <w:r>
        <w:t xml:space="preserve">предположениями оборудование для сети Университета г. Пиза</w:t>
      </w:r>
    </w:p>
    <w:p>
      <w:pPr>
        <w:pStyle w:val="BodyText"/>
      </w:pPr>
      <w:r>
        <w:t xml:space="preserve">(рис. 1) (рис. 2). (рис. 3).</w:t>
      </w:r>
    </w:p>
    <w:p>
      <w:pPr>
        <w:pStyle w:val="CaptionedFigure"/>
      </w:pPr>
      <w:r>
        <w:drawing>
          <wp:inline>
            <wp:extent cx="3733800" cy="1799815"/>
            <wp:effectExtent b="0" l="0" r="0" t="0"/>
            <wp:docPr descr="Размещение оборудования в рабочей области проекта.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9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Размещение оборудования в рабочей области проекта.</w:t>
      </w:r>
    </w:p>
    <w:p>
      <w:pPr>
        <w:pStyle w:val="CaptionedFigure"/>
      </w:pPr>
      <w:r>
        <w:drawing>
          <wp:inline>
            <wp:extent cx="3733800" cy="1194385"/>
            <wp:effectExtent b="0" l="0" r="0" t="0"/>
            <wp:docPr descr="Замена модулей на Repeater-PT.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4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Замена модулей на Repeater-PT.</w:t>
      </w:r>
    </w:p>
    <w:p>
      <w:pPr>
        <w:pStyle w:val="CaptionedFigure"/>
      </w:pPr>
      <w:r>
        <w:drawing>
          <wp:inline>
            <wp:extent cx="3733800" cy="1975940"/>
            <wp:effectExtent b="0" l="0" r="0" t="0"/>
            <wp:docPr descr="Подключение оборудования.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Подключение оборудования.</w:t>
      </w:r>
    </w:p>
    <w:p>
      <w:pPr>
        <w:pStyle w:val="BodyText"/>
      </w:pPr>
      <w:r>
        <w:t xml:space="preserve">В физической рабочей области проекта создадим город Пиза, здание</w:t>
      </w:r>
      <w:r>
        <w:t xml:space="preserve"> </w:t>
      </w:r>
      <w:r>
        <w:t xml:space="preserve">Университета г. Пиза. Переместим туда соответствующее оборудование (рис. 4). (рис. 5).</w:t>
      </w:r>
    </w:p>
    <w:p>
      <w:pPr>
        <w:pStyle w:val="CaptionedFigure"/>
      </w:pPr>
      <w:r>
        <w:drawing>
          <wp:inline>
            <wp:extent cx="3733800" cy="1944558"/>
            <wp:effectExtent b="0" l="0" r="0" t="0"/>
            <wp:docPr descr="Создание города Пиза в физической рабочей области.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4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города Пиза в физической рабочей области.</w:t>
      </w:r>
    </w:p>
    <w:p>
      <w:pPr>
        <w:pStyle w:val="CaptionedFigure"/>
      </w:pPr>
      <w:r>
        <w:drawing>
          <wp:inline>
            <wp:extent cx="3733800" cy="1382997"/>
            <wp:effectExtent b="0" l="0" r="0" t="0"/>
            <wp:docPr descr="Перемещение оборудования.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2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Перемещение оборудования.</w:t>
      </w:r>
    </w:p>
    <w:p>
      <w:pPr>
        <w:pStyle w:val="BodyText"/>
      </w:pPr>
      <w:r>
        <w:t xml:space="preserve">Теперь сделаем первоначальную настройку и настройку интерфейсов</w:t>
      </w:r>
      <w:r>
        <w:t xml:space="preserve"> </w:t>
      </w:r>
      <w:r>
        <w:t xml:space="preserve">оборудования сети Университета г. Пиза (рис. 6). (рис. 7). (рис. 8) (рис. 9)</w:t>
      </w:r>
    </w:p>
    <w:p>
      <w:pPr>
        <w:pStyle w:val="CaptionedFigure"/>
      </w:pPr>
      <w:r>
        <w:drawing>
          <wp:inline>
            <wp:extent cx="3733800" cy="2220290"/>
            <wp:effectExtent b="0" l="0" r="0" t="0"/>
            <wp:docPr descr="Первоначальная настройка маршрутизатора pisa-unipi-daborovikov-gw-1.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Первоначальная настройка маршрутизатора pisa-unipi-daborovikov-gw-1.</w:t>
      </w:r>
    </w:p>
    <w:p>
      <w:pPr>
        <w:pStyle w:val="CaptionedFigure"/>
      </w:pPr>
      <w:r>
        <w:drawing>
          <wp:inline>
            <wp:extent cx="3733800" cy="2085062"/>
            <wp:effectExtent b="0" l="0" r="0" t="0"/>
            <wp:docPr descr="Первоначальная настройка коммутатора pisa-unipi-daborovikov-sw-1.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Первоначальная настройка коммутатора pisa-unipi-daborovikov-sw-1.</w:t>
      </w:r>
    </w:p>
    <w:p>
      <w:pPr>
        <w:pStyle w:val="CaptionedFigure"/>
      </w:pPr>
      <w:r>
        <w:drawing>
          <wp:inline>
            <wp:extent cx="3733800" cy="2819744"/>
            <wp:effectExtent b="0" l="0" r="0" t="0"/>
            <wp:docPr descr="Настройка интерфейсов маршрутизатора pisa-unipi-daborovikov-gw-1.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9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Настройка интерфейсов маршрутизатора pisa-unipi-daborovikov-gw-1.</w:t>
      </w:r>
    </w:p>
    <w:p>
      <w:pPr>
        <w:pStyle w:val="CaptionedFigure"/>
      </w:pPr>
      <w:r>
        <w:drawing>
          <wp:inline>
            <wp:extent cx="3733800" cy="1803152"/>
            <wp:effectExtent b="0" l="0" r="0" t="0"/>
            <wp:docPr descr="Настройка интерфейсов коммутатора pisa-unipi-daborovikov-sw-1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3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интерфейсов коммутатора pisa-unipi-daborovikov-sw-1</w:t>
      </w:r>
    </w:p>
    <w:p>
      <w:pPr>
        <w:pStyle w:val="BodyText"/>
      </w:pPr>
      <w:r>
        <w:t xml:space="preserve">(рис. 10)</w:t>
      </w:r>
    </w:p>
    <w:p>
      <w:pPr>
        <w:pStyle w:val="CaptionedFigure"/>
      </w:pPr>
      <w:r>
        <w:drawing>
          <wp:inline>
            <wp:extent cx="3733800" cy="1831066"/>
            <wp:effectExtent b="0" l="0" r="0" t="0"/>
            <wp:docPr descr="Присвоение адресов оконечному устройству.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Присвоение адресов оконечному устройству.</w:t>
      </w:r>
    </w:p>
    <w:p>
      <w:pPr>
        <w:pStyle w:val="BodyText"/>
      </w:pPr>
      <w:r>
        <w:t xml:space="preserve">(рис. 11)</w:t>
      </w:r>
    </w:p>
    <w:p>
      <w:pPr>
        <w:pStyle w:val="CaptionedFigure"/>
      </w:pPr>
      <w:r>
        <w:drawing>
          <wp:inline>
            <wp:extent cx="3733800" cy="1574017"/>
            <wp:effectExtent b="0" l="0" r="0" t="0"/>
            <wp:docPr descr="Пинг адреса 10.131.0.1.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4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Пинг адреса 10.131.0.1.</w:t>
      </w:r>
    </w:p>
    <w:p>
      <w:pPr>
        <w:pStyle w:val="BodyText"/>
      </w:pPr>
      <w:r>
        <w:t xml:space="preserve">Далее настроим VPN</w:t>
      </w:r>
      <w:r>
        <w:t xml:space="preserve"> </w:t>
      </w:r>
      <w:r>
        <w:t xml:space="preserve">[1]</w:t>
      </w:r>
      <w:r>
        <w:t xml:space="preserve"> </w:t>
      </w:r>
      <w:r>
        <w:t xml:space="preserve">на основе протокола GRE (рис. 12)</w:t>
      </w:r>
    </w:p>
    <w:p>
      <w:pPr>
        <w:pStyle w:val="CaptionedFigure"/>
      </w:pPr>
      <w:r>
        <w:drawing>
          <wp:inline>
            <wp:extent cx="3733800" cy="1604847"/>
            <wp:effectExtent b="0" l="0" r="0" t="0"/>
            <wp:docPr descr="Настройка маршрутизатора msk-donskaya-daborovikov-gw-1.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4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маршрутизатора msk-donskaya-daborovikov-gw-1.</w:t>
      </w:r>
    </w:p>
    <w:p>
      <w:pPr>
        <w:pStyle w:val="BodyText"/>
      </w:pPr>
      <w:r>
        <w:t xml:space="preserve">(рис. 13)</w:t>
      </w:r>
    </w:p>
    <w:p>
      <w:pPr>
        <w:pStyle w:val="CaptionedFigure"/>
      </w:pPr>
      <w:r>
        <w:drawing>
          <wp:inline>
            <wp:extent cx="3733800" cy="2310715"/>
            <wp:effectExtent b="0" l="0" r="0" t="0"/>
            <wp:docPr descr="Настройка маршрутизатора pisa-unipi-daborovikov-gw-1.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0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Настройка маршрутизатора pisa-unipi-daborovikov-gw-1.</w:t>
      </w:r>
    </w:p>
    <w:p>
      <w:pPr>
        <w:pStyle w:val="BodyText"/>
      </w:pPr>
      <w:r>
        <w:t xml:space="preserve">Последним шагом проверим доступность узлов сети Университета г. Пиза с</w:t>
      </w:r>
      <w:r>
        <w:t xml:space="preserve"> </w:t>
      </w:r>
      <w:r>
        <w:t xml:space="preserve">ноутбука администратора сети «Донская» (рис. 14)</w:t>
      </w:r>
    </w:p>
    <w:p>
      <w:pPr>
        <w:pStyle w:val="CaptionedFigure"/>
      </w:pPr>
      <w:r>
        <w:drawing>
          <wp:inline>
            <wp:extent cx="3733800" cy="1627278"/>
            <wp:effectExtent b="0" l="0" r="0" t="0"/>
            <wp:docPr descr="Проверка доступности узлов сети Университета г. Пиза с ноутбука администратора сети «Донская».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7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доступности узлов сети Университета г. Пиза с ноутбука администратора сети «Донская».</w:t>
      </w:r>
    </w:p>
    <w:bookmarkStart w:id="63" w:name="контрольные-вопросы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Что такое VPN? - Зашифрованное соединение, устанавливаемое</w:t>
      </w:r>
      <w:r>
        <w:t xml:space="preserve"> </w:t>
      </w:r>
      <w:r>
        <w:t xml:space="preserve">через Интернет между устройством и сетью.</w:t>
      </w:r>
    </w:p>
    <w:p>
      <w:pPr>
        <w:numPr>
          <w:ilvl w:val="0"/>
          <w:numId w:val="1001"/>
        </w:numPr>
      </w:pPr>
      <w:r>
        <w:t xml:space="preserve">В каких случаях следует использовать VPN? - Для дополнительного</w:t>
      </w:r>
      <w:r>
        <w:t xml:space="preserve"> </w:t>
      </w:r>
      <w:r>
        <w:t xml:space="preserve">шифрования в сетях, безопасному подключению к локальным</w:t>
      </w:r>
      <w:r>
        <w:t xml:space="preserve"> </w:t>
      </w:r>
      <w:r>
        <w:t xml:space="preserve">сетям извне.</w:t>
      </w:r>
    </w:p>
    <w:p>
      <w:pPr>
        <w:numPr>
          <w:ilvl w:val="0"/>
          <w:numId w:val="1001"/>
        </w:numPr>
      </w:pPr>
      <w:r>
        <w:t xml:space="preserve">Как с помощью VPN обойти NAT? - Поднять VPNтуннель/подключить OpenVPN.</w:t>
      </w:r>
    </w:p>
    <w:bookmarkEnd w:id="63"/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получили навыки настройки</w:t>
      </w:r>
      <w:r>
        <w:t xml:space="preserve"> </w:t>
      </w:r>
      <w:r>
        <w:t xml:space="preserve">VPN-туннеля через незащищённое Интернет-соединение.</w:t>
      </w:r>
    </w:p>
    <w:bookmarkEnd w:id="65"/>
    <w:bookmarkStart w:id="69" w:name="список-литературы"/>
    <w:p>
      <w:pPr>
        <w:pStyle w:val="Heading1"/>
      </w:pPr>
      <w:r>
        <w:t xml:space="preserve">Список литературы</w:t>
      </w:r>
    </w:p>
    <w:bookmarkStart w:id="68" w:name="refs"/>
    <w:bookmarkStart w:id="67" w:name="ref-wiki:bash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VPN</w:t>
      </w:r>
      <w:r>
        <w:t xml:space="preserve"> </w:t>
      </w:r>
      <w:r>
        <w:t xml:space="preserve">[Электронный ресурс]. URL:</w:t>
      </w:r>
      <w:r>
        <w:t xml:space="preserve"> </w:t>
      </w:r>
      <w:hyperlink r:id="rId66">
        <w:r>
          <w:rPr>
            <w:rStyle w:val="Hyperlink"/>
          </w:rPr>
          <w:t xml:space="preserve">https://ru.wikipedia.org/wiki/VPN</w:t>
        </w:r>
      </w:hyperlink>
      <w:r>
        <w:t xml:space="preserve">.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hyperlink" Id="rId66" Target="https://ru.wikipedia.org/wiki/VP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ru.wikipedia.org/wiki/VP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№16</dc:title>
  <dc:creator>Боровиков Даниил Александрович НПИбд-01-22</dc:creator>
  <dc:language>ru-RU</dc:language>
  <cp:keywords/>
  <dcterms:created xsi:type="dcterms:W3CDTF">2025-05-31T15:30:52Z</dcterms:created>
  <dcterms:modified xsi:type="dcterms:W3CDTF">2025-05-31T15:30:52Z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Arial</vt:lpwstr>
  </property>
  <property fmtid="{D5CDD505-2E9C-101B-9397-08002B2CF9AE}" pid="59" name="mainfontoptions">
    <vt:lpwstr>Ligatures=TeX</vt:lpwstr>
  </property>
  <property fmtid="{D5CDD505-2E9C-101B-9397-08002B2CF9AE}" pid="60" name="monofont">
    <vt:lpwstr>Arial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Arial</vt:lpwstr>
  </property>
  <property fmtid="{D5CDD505-2E9C-101B-9397-08002B2CF9AE}" pid="72" name="romanfontoptions">
    <vt:lpwstr>Ligatures=TeX</vt:lpwstr>
  </property>
  <property fmtid="{D5CDD505-2E9C-101B-9397-08002B2CF9AE}" pid="73" name="sansfont">
    <vt:lpwstr>Arial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