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физической рабочей областью Packet Tracer,</w:t>
      </w:r>
      <w:r>
        <w:t xml:space="preserve"> </w:t>
      </w:r>
      <w:r>
        <w:t xml:space="preserve">а также учесть физические параметры сети.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заменить соединение между коммутаторами двух территорий</w:t>
      </w:r>
      <w:r>
        <w:t xml:space="preserve"> </w:t>
      </w:r>
      <w:r>
        <w:t xml:space="preserve">msk-donskaya-sw-1 и msk-pavlovskaya-sw-1 (рис. 7.1) на соединение, учитывающее физические параметры сети, а именно — расстояние между двумя</w:t>
      </w:r>
      <w:r>
        <w:t xml:space="preserve"> </w:t>
      </w:r>
      <w:r>
        <w:t xml:space="preserve">территориями.</w:t>
      </w:r>
      <w:r>
        <w:t xml:space="preserve"> </w:t>
      </w:r>
      <w:r>
        <w:t xml:space="preserve">При выполнении работы необходимо учитывать соглашение об именовании</w:t>
      </w:r>
    </w:p>
    <w:bookmarkEnd w:id="21"/>
    <w:bookmarkStart w:id="65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Перейдите в физическую рабочую область Packet Tracer</w:t>
      </w:r>
      <w:r>
        <w:t xml:space="preserve"> </w:t>
      </w:r>
      <w:r>
        <w:t xml:space="preserve">[1]</w:t>
      </w:r>
      <w:r>
        <w:t xml:space="preserve">. Присвойте название городу — Moscow(рис. 1)</w:t>
      </w:r>
    </w:p>
    <w:p>
      <w:pPr>
        <w:pStyle w:val="CaptionedFigure"/>
      </w:pPr>
      <w:r>
        <w:drawing>
          <wp:inline>
            <wp:extent cx="3733800" cy="2575141"/>
            <wp:effectExtent b="0" l="0" r="0" t="0"/>
            <wp:docPr descr="Присвоение названия город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Присвоение названия города</w:t>
      </w:r>
    </w:p>
    <w:p>
      <w:pPr>
        <w:pStyle w:val="BodyText"/>
      </w:pPr>
      <w:r>
        <w:t xml:space="preserve">Щёлкнув на изображении города, Вы увидите изображение здания (рис. 7.3).</w:t>
      </w:r>
      <w:r>
        <w:t xml:space="preserve"> </w:t>
      </w:r>
      <w:r>
        <w:t xml:space="preserve">Присвойте ему название Donskaya. Добавьте здание для территории</w:t>
      </w:r>
      <w:r>
        <w:t xml:space="preserve"> </w:t>
      </w:r>
      <w:r>
        <w:t xml:space="preserve">Pavlovskaya(рис. 2).</w:t>
      </w:r>
    </w:p>
    <w:p>
      <w:pPr>
        <w:pStyle w:val="CaptionedFigure"/>
      </w:pPr>
      <w:r>
        <w:drawing>
          <wp:inline>
            <wp:extent cx="3733800" cy="1734958"/>
            <wp:effectExtent b="0" l="0" r="0" t="0"/>
            <wp:docPr descr="Здания Donskaya и Pavlovskaya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4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Здания Donskaya и Pavlovskaya</w:t>
      </w:r>
    </w:p>
    <w:p>
      <w:pPr>
        <w:pStyle w:val="BodyText"/>
      </w:pPr>
      <w:r>
        <w:t xml:space="preserve">Щёлкнув на изображении здания Donskaya, переместите изображение, обозначающее серверное помещение, в него(рис. 3).</w:t>
      </w:r>
    </w:p>
    <w:p>
      <w:pPr>
        <w:pStyle w:val="CaptionedFigure"/>
      </w:pPr>
      <w:r>
        <w:drawing>
          <wp:inline>
            <wp:extent cx="3733800" cy="2530198"/>
            <wp:effectExtent b="0" l="0" r="0" t="0"/>
            <wp:docPr descr="Сервисное помещение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Сервисное помещение</w:t>
      </w:r>
    </w:p>
    <w:p>
      <w:pPr>
        <w:pStyle w:val="BodyText"/>
      </w:pPr>
      <w:r>
        <w:t xml:space="preserve">Щёлкнув на изображении серверной, Вы увидите отображение серверных</w:t>
      </w:r>
      <w:r>
        <w:t xml:space="preserve"> </w:t>
      </w:r>
      <w:r>
        <w:t xml:space="preserve">стоек. Переместите коммутатор msk-pavlovskaya-sw-1 и два оконечных устройства dk-pavlovskaya-1 и other-pavlovskaya-1 на территорию Pavlovskaya,</w:t>
      </w:r>
      <w:r>
        <w:t xml:space="preserve"> </w:t>
      </w:r>
      <w:r>
        <w:t xml:space="preserve">используя меню Move физической рабочей области Packet Tracer.</w:t>
      </w:r>
      <w:r>
        <w:t xml:space="preserve"> </w:t>
      </w:r>
      <w:r>
        <w:t xml:space="preserve">(рис. 4).</w:t>
      </w:r>
    </w:p>
    <w:p>
      <w:pPr>
        <w:pStyle w:val="CaptionedFigure"/>
      </w:pPr>
      <w:r>
        <w:drawing>
          <wp:inline>
            <wp:extent cx="3733800" cy="3321532"/>
            <wp:effectExtent b="0" l="0" r="0" t="0"/>
            <wp:docPr descr="Перемещение коммутатора и оконечных устройств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1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Перемещение коммутатора и оконечных устройств</w:t>
      </w:r>
    </w:p>
    <w:p>
      <w:pPr>
        <w:pStyle w:val="BodyText"/>
      </w:pPr>
      <w:r>
        <w:t xml:space="preserve">(рис. 5).</w:t>
      </w:r>
    </w:p>
    <w:p>
      <w:pPr>
        <w:pStyle w:val="CaptionedFigure"/>
      </w:pPr>
      <w:r>
        <w:drawing>
          <wp:inline>
            <wp:extent cx="3733800" cy="1797206"/>
            <wp:effectExtent b="0" l="0" r="0" t="0"/>
            <wp:docPr descr="Перемещение оконечных устройст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 оконечных устройств</w:t>
      </w:r>
    </w:p>
    <w:p>
      <w:pPr>
        <w:pStyle w:val="BodyText"/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работоспособности соединения.(рис. 6).</w:t>
      </w:r>
    </w:p>
    <w:p>
      <w:pPr>
        <w:pStyle w:val="CaptionedFigure"/>
      </w:pPr>
      <w:r>
        <w:drawing>
          <wp:inline>
            <wp:extent cx="3733800" cy="1453037"/>
            <wp:effectExtent b="0" l="0" r="0" t="0"/>
            <wp:docPr descr="ping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3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ping</w:t>
      </w:r>
    </w:p>
    <w:p>
      <w:pPr>
        <w:pStyle w:val="BodyText"/>
      </w:pPr>
      <w:r>
        <w:t xml:space="preserve">В меню Options , Preferences во вкладке Interface активируйте разрешение</w:t>
      </w:r>
      <w:r>
        <w:t xml:space="preserve"> </w:t>
      </w:r>
      <w:r>
        <w:t xml:space="preserve">на учёт физических характеристик среды передачи (Enable Cable Length</w:t>
      </w:r>
      <w:r>
        <w:t xml:space="preserve"> </w:t>
      </w:r>
      <w:r>
        <w:t xml:space="preserve">Effects). (рис. 7).</w:t>
      </w:r>
    </w:p>
    <w:p>
      <w:pPr>
        <w:pStyle w:val="CaptionedFigure"/>
      </w:pPr>
      <w:r>
        <w:drawing>
          <wp:inline>
            <wp:extent cx="3733800" cy="1283727"/>
            <wp:effectExtent b="0" l="0" r="0" t="0"/>
            <wp:docPr descr="Разрешение на учет длины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Разрешение на учет длины</w:t>
      </w:r>
    </w:p>
    <w:p>
      <w:pPr>
        <w:pStyle w:val="BodyText"/>
      </w:pPr>
      <w:r>
        <w:t xml:space="preserve">В физической рабочей области Packet Tracer разместите две территории на</w:t>
      </w:r>
      <w:r>
        <w:t xml:space="preserve"> </w:t>
      </w:r>
      <w:r>
        <w:t xml:space="preserve">расстоянии более 100 м друг от друга (рекомендуемое расстояние — около</w:t>
      </w:r>
      <w:r>
        <w:t xml:space="preserve"> </w:t>
      </w:r>
      <w:r>
        <w:t xml:space="preserve">1000 м или более).(рис. 8)</w:t>
      </w:r>
    </w:p>
    <w:p>
      <w:pPr>
        <w:pStyle w:val="CaptionedFigure"/>
      </w:pPr>
      <w:r>
        <w:drawing>
          <wp:inline>
            <wp:extent cx="3733800" cy="2845634"/>
            <wp:effectExtent b="0" l="0" r="0" t="0"/>
            <wp:docPr descr="Размещение территорий на расстоянии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5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Размещение территорий на расстоянии</w:t>
      </w:r>
    </w:p>
    <w:p>
      <w:pPr>
        <w:pStyle w:val="BodyText"/>
      </w:pPr>
      <w:r>
        <w:t xml:space="preserve">Вернувшись в логическую рабочую область Packet Tracer, пропингуйте с коммутатора msk-donskaya-sw-1 коммутатор msk-pavlovskaya-sw-1.</w:t>
      </w:r>
      <w:r>
        <w:t xml:space="preserve"> </w:t>
      </w:r>
      <w:r>
        <w:t xml:space="preserve">Убедитесь в неработоспособности соединения.(рис. 9)</w:t>
      </w:r>
    </w:p>
    <w:p>
      <w:pPr>
        <w:pStyle w:val="CaptionedFigure"/>
      </w:pPr>
      <w:r>
        <w:drawing>
          <wp:inline>
            <wp:extent cx="3733800" cy="798208"/>
            <wp:effectExtent b="0" l="0" r="0" t="0"/>
            <wp:docPr descr="ping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8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ping</w:t>
      </w:r>
    </w:p>
    <w:p>
      <w:pPr>
        <w:pStyle w:val="BodyText"/>
      </w:pPr>
      <w:r>
        <w:t xml:space="preserve">Удалите соединение между msk-donskaya-sw-1 и msk-pavlovskaya-sw-1.</w:t>
      </w:r>
      <w:r>
        <w:t xml:space="preserve"> </w:t>
      </w:r>
      <w:r>
        <w:t xml:space="preserve">Добавьте в логическую рабочую область два повторителя (RepeaterPT). Присвойте им соответствующие названия msk-donskaya-mc-1</w:t>
      </w:r>
      <w:r>
        <w:t xml:space="preserve"> </w:t>
      </w:r>
      <w:r>
        <w:t xml:space="preserve">и msk-pavlovskaya-mc-1. (рис. 10)</w:t>
      </w:r>
    </w:p>
    <w:p>
      <w:pPr>
        <w:pStyle w:val="CaptionedFigure"/>
      </w:pPr>
      <w:r>
        <w:drawing>
          <wp:inline>
            <wp:extent cx="3733800" cy="1967616"/>
            <wp:effectExtent b="0" l="0" r="0" t="0"/>
            <wp:docPr descr="Повторители с названиями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7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Повторители с названиями</w:t>
      </w:r>
    </w:p>
    <w:p>
      <w:pPr>
        <w:pStyle w:val="BodyText"/>
      </w:pPr>
      <w:r>
        <w:t xml:space="preserve">Замените имеющиеся модули на PT-REPEATERNM-1FFE и PT-REPEATER-NM-1CFE для подключения оптоволокна</w:t>
      </w:r>
      <w:r>
        <w:t xml:space="preserve"> </w:t>
      </w:r>
      <w:r>
        <w:t xml:space="preserve">и витой пары по технологии Fast Ethernet(рис. 11)</w:t>
      </w:r>
    </w:p>
    <w:p>
      <w:pPr>
        <w:pStyle w:val="CaptionedFigure"/>
      </w:pPr>
      <w:r>
        <w:drawing>
          <wp:inline>
            <wp:extent cx="3733800" cy="1405498"/>
            <wp:effectExtent b="0" l="0" r="0" t="0"/>
            <wp:docPr descr="Замена модулей повторителей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5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Замена модулей повторителей</w:t>
      </w:r>
    </w:p>
    <w:p>
      <w:pPr>
        <w:pStyle w:val="BodyText"/>
      </w:pPr>
      <w:r>
        <w:t xml:space="preserve">Переместите msk-pavlovskaya-mc-1 на территорию Pavlovskaya (в физической рабочей области Packet Tracer). (рис. 12)</w:t>
      </w:r>
    </w:p>
    <w:p>
      <w:pPr>
        <w:pStyle w:val="CaptionedFigure"/>
      </w:pPr>
      <w:r>
        <w:drawing>
          <wp:inline>
            <wp:extent cx="3733800" cy="1471788"/>
            <wp:effectExtent b="0" l="0" r="0" t="0"/>
            <wp:docPr descr="Перемещение повторителя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Перемещение повторителя</w:t>
      </w:r>
    </w:p>
    <w:p>
      <w:pPr>
        <w:pStyle w:val="BodyText"/>
      </w:pPr>
      <w:r>
        <w:t xml:space="preserve">Подключите коммутатор msk-donskaya-sw-1 к msk-donskaya-mc-1 по витой паре, msk-donskaya-mc-1 и msk-pavlovskaya-mc-1 — по оптоволокну, msk-pavlovskaya-sw-1 к msk-pavlovskaya-mc-1 — по витой паре(рис. 13)</w:t>
      </w:r>
    </w:p>
    <w:p>
      <w:pPr>
        <w:pStyle w:val="CaptionedFigure"/>
      </w:pPr>
      <w:r>
        <w:drawing>
          <wp:inline>
            <wp:extent cx="3733800" cy="2045396"/>
            <wp:effectExtent b="0" l="0" r="0" t="0"/>
            <wp:docPr descr="Подключение, оптоволокно, витая пара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5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Подключение, оптоволокно, витая пара</w:t>
      </w:r>
    </w:p>
    <w:p>
      <w:pPr>
        <w:pStyle w:val="BodyText"/>
      </w:pPr>
      <w:r>
        <w:t xml:space="preserve">Убедитесь в работоспособности соединения между msk-donskaya-sw-1</w:t>
      </w:r>
      <w:r>
        <w:t xml:space="preserve"> </w:t>
      </w:r>
      <w:r>
        <w:t xml:space="preserve">и msk-pavlovskaya-sw-1.(рис. 14)</w:t>
      </w:r>
    </w:p>
    <w:p>
      <w:pPr>
        <w:pStyle w:val="CaptionedFigure"/>
      </w:pPr>
      <w:r>
        <w:drawing>
          <wp:inline>
            <wp:extent cx="3733800" cy="2386075"/>
            <wp:effectExtent b="0" l="0" r="0" t="0"/>
            <wp:docPr descr="ping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6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ping</w:t>
      </w:r>
    </w:p>
    <w:bookmarkStart w:id="64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BodyText"/>
      </w:pPr>
      <w:r>
        <w:t xml:space="preserve">Среды передачи данных:</w:t>
      </w:r>
    </w:p>
    <w:p>
      <w:pPr>
        <w:numPr>
          <w:ilvl w:val="0"/>
          <w:numId w:val="1001"/>
        </w:numPr>
      </w:pPr>
      <w:r>
        <w:t xml:space="preserve">Медные проводники (витая пара, коаксиальный кабель)</w:t>
      </w:r>
    </w:p>
    <w:p>
      <w:pPr>
        <w:numPr>
          <w:ilvl w:val="0"/>
          <w:numId w:val="1001"/>
        </w:numPr>
      </w:pPr>
      <w:r>
        <w:t xml:space="preserve">Оптоволоконные кабели</w:t>
      </w:r>
    </w:p>
    <w:p>
      <w:pPr>
        <w:numPr>
          <w:ilvl w:val="0"/>
          <w:numId w:val="1001"/>
        </w:numPr>
      </w:pPr>
      <w:r>
        <w:t xml:space="preserve">Беспроводные среды (радиоволны, микроволны, инфракрасное излучение)</w:t>
      </w:r>
    </w:p>
    <w:p>
      <w:pPr>
        <w:numPr>
          <w:ilvl w:val="0"/>
          <w:numId w:val="1001"/>
        </w:numPr>
      </w:pPr>
      <w:r>
        <w:t xml:space="preserve">Электрические линии (PLC - Power Line Communication)</w:t>
      </w:r>
    </w:p>
    <w:p>
      <w:pPr>
        <w:pStyle w:val="FirstParagraph"/>
      </w:pPr>
      <w:r>
        <w:t xml:space="preserve">Характеристики при планировании сети:</w:t>
      </w:r>
    </w:p>
    <w:p>
      <w:pPr>
        <w:numPr>
          <w:ilvl w:val="0"/>
          <w:numId w:val="1002"/>
        </w:numPr>
      </w:pPr>
      <w:r>
        <w:t xml:space="preserve">Пропускная способность</w:t>
      </w:r>
    </w:p>
    <w:p>
      <w:pPr>
        <w:numPr>
          <w:ilvl w:val="0"/>
          <w:numId w:val="1002"/>
        </w:numPr>
      </w:pPr>
      <w:r>
        <w:t xml:space="preserve">Затухание сигнала</w:t>
      </w:r>
    </w:p>
    <w:p>
      <w:pPr>
        <w:numPr>
          <w:ilvl w:val="0"/>
          <w:numId w:val="1002"/>
        </w:numPr>
      </w:pPr>
      <w:r>
        <w:t xml:space="preserve">Помехозащищенность</w:t>
      </w:r>
    </w:p>
    <w:p>
      <w:pPr>
        <w:numPr>
          <w:ilvl w:val="0"/>
          <w:numId w:val="1002"/>
        </w:numPr>
      </w:pPr>
      <w:r>
        <w:t xml:space="preserve">Безопасность</w:t>
      </w:r>
    </w:p>
    <w:p>
      <w:pPr>
        <w:numPr>
          <w:ilvl w:val="0"/>
          <w:numId w:val="1002"/>
        </w:numPr>
      </w:pPr>
      <w:r>
        <w:t xml:space="preserve">Стоимость внедрения и обслуживания</w:t>
      </w:r>
    </w:p>
    <w:p>
      <w:pPr>
        <w:numPr>
          <w:ilvl w:val="0"/>
          <w:numId w:val="1002"/>
        </w:numPr>
      </w:pPr>
      <w:r>
        <w:t xml:space="preserve">Масштабируемость</w:t>
      </w:r>
    </w:p>
    <w:p>
      <w:pPr>
        <w:numPr>
          <w:ilvl w:val="0"/>
          <w:numId w:val="1002"/>
        </w:numPr>
      </w:pPr>
      <w:r>
        <w:t xml:space="preserve">Совместимость с существующей инфраструктурой</w:t>
      </w:r>
    </w:p>
    <w:p>
      <w:pPr>
        <w:numPr>
          <w:ilvl w:val="0"/>
          <w:numId w:val="1002"/>
        </w:numPr>
      </w:pPr>
      <w:r>
        <w:t xml:space="preserve">Физические ограничения</w:t>
      </w:r>
    </w:p>
    <w:p>
      <w:pPr>
        <w:pStyle w:val="FirstParagraph"/>
      </w:pPr>
      <w:r>
        <w:rPr>
          <w:b/>
          <w:bCs/>
        </w:rPr>
        <w:t xml:space="preserve">2. Перечислите категории витой пары. Чем они отличаются? Какая категория в каких условиях может применяться?</w:t>
      </w:r>
    </w:p>
    <w:p>
      <w:pPr>
        <w:pStyle w:val="BodyText"/>
      </w:pPr>
      <w:r>
        <w:t xml:space="preserve">Категории витой пары:</w:t>
      </w:r>
    </w:p>
    <w:p>
      <w:pPr>
        <w:numPr>
          <w:ilvl w:val="0"/>
          <w:numId w:val="1003"/>
        </w:numPr>
      </w:pPr>
      <w:r>
        <w:t xml:space="preserve">Cat 3: До 10 Мбит/с, частота до 16 МГц</w:t>
      </w:r>
    </w:p>
    <w:p>
      <w:pPr>
        <w:numPr>
          <w:ilvl w:val="0"/>
          <w:numId w:val="1003"/>
        </w:numPr>
      </w:pPr>
      <w:r>
        <w:t xml:space="preserve">Cat 5: До 100 Мбит/с, частота до 100 МГц</w:t>
      </w:r>
    </w:p>
    <w:p>
      <w:pPr>
        <w:numPr>
          <w:ilvl w:val="0"/>
          <w:numId w:val="1003"/>
        </w:numPr>
      </w:pPr>
      <w:r>
        <w:t xml:space="preserve">Cat 5e: До 1 Гбит/с, улучшенная версия Cat 5</w:t>
      </w:r>
    </w:p>
    <w:p>
      <w:pPr>
        <w:numPr>
          <w:ilvl w:val="0"/>
          <w:numId w:val="1003"/>
        </w:numPr>
      </w:pPr>
      <w:r>
        <w:t xml:space="preserve">Cat 6: До 10 Гбит/с на коротких расстояниях, частота до 250 МГц</w:t>
      </w:r>
    </w:p>
    <w:p>
      <w:pPr>
        <w:numPr>
          <w:ilvl w:val="0"/>
          <w:numId w:val="1003"/>
        </w:numPr>
      </w:pPr>
      <w:r>
        <w:t xml:space="preserve">Cat 6a: До 10 Гбит/с на расстоянии до 100 м, частота до 500 МГц</w:t>
      </w:r>
    </w:p>
    <w:p>
      <w:pPr>
        <w:numPr>
          <w:ilvl w:val="0"/>
          <w:numId w:val="1003"/>
        </w:numPr>
      </w:pPr>
      <w:r>
        <w:t xml:space="preserve">Cat 7: До 10 Гбит/с, повышенная защита от помех, частота до 600 МГц</w:t>
      </w:r>
    </w:p>
    <w:p>
      <w:pPr>
        <w:numPr>
          <w:ilvl w:val="0"/>
          <w:numId w:val="1003"/>
        </w:numPr>
      </w:pPr>
      <w:r>
        <w:t xml:space="preserve">Cat 7a: До 10 Гбит/с, частота до 1000 МГц</w:t>
      </w:r>
    </w:p>
    <w:p>
      <w:pPr>
        <w:numPr>
          <w:ilvl w:val="0"/>
          <w:numId w:val="1003"/>
        </w:numPr>
      </w:pPr>
      <w:r>
        <w:t xml:space="preserve">Cat 8: До 40 Гбит/с на коротких расстояниях, частота до 2000 МГц</w:t>
      </w:r>
    </w:p>
    <w:p>
      <w:pPr>
        <w:pStyle w:val="FirstParagraph"/>
      </w:pPr>
      <w:r>
        <w:t xml:space="preserve">Отличия: скорость передачи данных, рабочая частота, степень защиты от помех, тип экранирования, максимальная длина сегмента.</w:t>
      </w:r>
    </w:p>
    <w:p>
      <w:pPr>
        <w:pStyle w:val="BodyText"/>
      </w:pPr>
      <w:r>
        <w:t xml:space="preserve">Применение:</w:t>
      </w:r>
      <w:r>
        <w:t xml:space="preserve"> </w:t>
      </w:r>
      <w:r>
        <w:t xml:space="preserve">- Cat 3-5: Устаревшие, редко используются в новых сетях</w:t>
      </w:r>
    </w:p>
    <w:p>
      <w:pPr>
        <w:numPr>
          <w:ilvl w:val="0"/>
          <w:numId w:val="1004"/>
        </w:numPr>
      </w:pPr>
      <w:r>
        <w:t xml:space="preserve">Cat 5e: Домашние сети, малый бизнес (1 Гбит/с)</w:t>
      </w:r>
    </w:p>
    <w:p>
      <w:pPr>
        <w:numPr>
          <w:ilvl w:val="0"/>
          <w:numId w:val="1004"/>
        </w:numPr>
      </w:pPr>
      <w:r>
        <w:t xml:space="preserve">Cat 6: Сети с высокими требованиями к пропускной способности</w:t>
      </w:r>
    </w:p>
    <w:p>
      <w:pPr>
        <w:numPr>
          <w:ilvl w:val="0"/>
          <w:numId w:val="1004"/>
        </w:numPr>
      </w:pPr>
      <w:r>
        <w:t xml:space="preserve">Cat 6a, 7, 7a: Центры обработки данных, корпоративные сети</w:t>
      </w:r>
    </w:p>
    <w:p>
      <w:pPr>
        <w:numPr>
          <w:ilvl w:val="0"/>
          <w:numId w:val="1004"/>
        </w:numPr>
      </w:pPr>
      <w:r>
        <w:t xml:space="preserve">Cat 8: Магистральные соединения, ЦОД с потребностью в сверхвысокой скорости</w:t>
      </w:r>
    </w:p>
    <w:p>
      <w:pPr>
        <w:pStyle w:val="FirstParagraph"/>
      </w:pPr>
      <w:r>
        <w:rPr>
          <w:b/>
          <w:bCs/>
        </w:rPr>
        <w:t xml:space="preserve">3. В чем отличие одномодового и многомодового оптоволокна? Какой тип кабеля в каких условиях может применяться?</w:t>
      </w:r>
    </w:p>
    <w:p>
      <w:pPr>
        <w:pStyle w:val="BodyText"/>
      </w:pPr>
      <w:r>
        <w:t xml:space="preserve">Отличия:</w:t>
      </w:r>
    </w:p>
    <w:p>
      <w:pPr>
        <w:pStyle w:val="BodyText"/>
      </w:pPr>
      <w:r>
        <w:t xml:space="preserve">Многомодовое оптоволокно:</w:t>
      </w:r>
    </w:p>
    <w:p>
      <w:pPr>
        <w:numPr>
          <w:ilvl w:val="0"/>
          <w:numId w:val="1005"/>
        </w:numPr>
      </w:pPr>
      <w:r>
        <w:t xml:space="preserve">Диаметр сердцевины 50 или 62,5 мкм</w:t>
      </w:r>
    </w:p>
    <w:p>
      <w:pPr>
        <w:numPr>
          <w:ilvl w:val="0"/>
          <w:numId w:val="1005"/>
        </w:numPr>
      </w:pPr>
      <w:r>
        <w:t xml:space="preserve">Передает несколько световых мод</w:t>
      </w:r>
    </w:p>
    <w:p>
      <w:pPr>
        <w:numPr>
          <w:ilvl w:val="0"/>
          <w:numId w:val="1005"/>
        </w:numPr>
      </w:pPr>
      <w:r>
        <w:t xml:space="preserve">Использует LED или VCSEL источники</w:t>
      </w:r>
    </w:p>
    <w:p>
      <w:pPr>
        <w:numPr>
          <w:ilvl w:val="0"/>
          <w:numId w:val="1005"/>
        </w:numPr>
      </w:pPr>
      <w:r>
        <w:t xml:space="preserve">Большее затухание сигнала</w:t>
      </w:r>
    </w:p>
    <w:p>
      <w:pPr>
        <w:numPr>
          <w:ilvl w:val="0"/>
          <w:numId w:val="1005"/>
        </w:numPr>
      </w:pPr>
      <w:r>
        <w:t xml:space="preserve">Дальность до 550 метров (OM4)</w:t>
      </w:r>
    </w:p>
    <w:p>
      <w:pPr>
        <w:numPr>
          <w:ilvl w:val="0"/>
          <w:numId w:val="1005"/>
        </w:numPr>
      </w:pPr>
      <w:r>
        <w:t xml:space="preserve">Обычно оранжевого или бирюзового цвета</w:t>
      </w:r>
    </w:p>
    <w:p>
      <w:pPr>
        <w:pStyle w:val="FirstParagraph"/>
      </w:pPr>
      <w:r>
        <w:t xml:space="preserve">Одномодовое оптоволокно:</w:t>
      </w:r>
    </w:p>
    <w:p>
      <w:pPr>
        <w:numPr>
          <w:ilvl w:val="0"/>
          <w:numId w:val="1006"/>
        </w:numPr>
      </w:pPr>
      <w:r>
        <w:t xml:space="preserve">Диаметр сердцевины 8-10 мкм</w:t>
      </w:r>
    </w:p>
    <w:p>
      <w:pPr>
        <w:numPr>
          <w:ilvl w:val="0"/>
          <w:numId w:val="1006"/>
        </w:numPr>
      </w:pPr>
      <w:r>
        <w:t xml:space="preserve">Передает только одну моду света</w:t>
      </w:r>
    </w:p>
    <w:p>
      <w:pPr>
        <w:numPr>
          <w:ilvl w:val="0"/>
          <w:numId w:val="1006"/>
        </w:numPr>
      </w:pPr>
      <w:r>
        <w:t xml:space="preserve">Требует лазерные источники света</w:t>
      </w:r>
    </w:p>
    <w:p>
      <w:pPr>
        <w:numPr>
          <w:ilvl w:val="0"/>
          <w:numId w:val="1006"/>
        </w:numPr>
      </w:pPr>
      <w:r>
        <w:t xml:space="preserve">Меньшее затухание сигнала</w:t>
      </w:r>
    </w:p>
    <w:p>
      <w:pPr>
        <w:numPr>
          <w:ilvl w:val="0"/>
          <w:numId w:val="1006"/>
        </w:numPr>
      </w:pPr>
      <w:r>
        <w:t xml:space="preserve">Дальность до 100 км и более</w:t>
      </w:r>
    </w:p>
    <w:p>
      <w:pPr>
        <w:numPr>
          <w:ilvl w:val="0"/>
          <w:numId w:val="1006"/>
        </w:numPr>
      </w:pPr>
      <w:r>
        <w:t xml:space="preserve">Обычно желтого цвета</w:t>
      </w:r>
    </w:p>
    <w:p>
      <w:pPr>
        <w:pStyle w:val="FirstParagraph"/>
      </w:pPr>
      <w:r>
        <w:t xml:space="preserve">Применение:</w:t>
      </w:r>
    </w:p>
    <w:p>
      <w:pPr>
        <w:pStyle w:val="BodyText"/>
      </w:pPr>
      <w:r>
        <w:t xml:space="preserve">Многомодовое оптоволокно:</w:t>
      </w:r>
    </w:p>
    <w:p>
      <w:pPr>
        <w:numPr>
          <w:ilvl w:val="0"/>
          <w:numId w:val="1007"/>
        </w:numPr>
      </w:pPr>
      <w:r>
        <w:t xml:space="preserve">Внутри зданий и кампусов</w:t>
      </w:r>
    </w:p>
    <w:p>
      <w:pPr>
        <w:numPr>
          <w:ilvl w:val="0"/>
          <w:numId w:val="1007"/>
        </w:numPr>
      </w:pPr>
      <w:r>
        <w:t xml:space="preserve">Сети LAN и SAN</w:t>
      </w:r>
    </w:p>
    <w:p>
      <w:pPr>
        <w:numPr>
          <w:ilvl w:val="0"/>
          <w:numId w:val="1007"/>
        </w:numPr>
      </w:pPr>
      <w:r>
        <w:t xml:space="preserve">Центры обработки данных</w:t>
      </w:r>
    </w:p>
    <w:p>
      <w:pPr>
        <w:numPr>
          <w:ilvl w:val="0"/>
          <w:numId w:val="1007"/>
        </w:numPr>
      </w:pPr>
      <w:r>
        <w:t xml:space="preserve">Короткие расстояния (до 300-500 м)</w:t>
      </w:r>
    </w:p>
    <w:p>
      <w:pPr>
        <w:numPr>
          <w:ilvl w:val="0"/>
          <w:numId w:val="1007"/>
        </w:numPr>
      </w:pPr>
      <w:r>
        <w:t xml:space="preserve">Когда важна экономия на активном оборудовании</w:t>
      </w:r>
    </w:p>
    <w:p>
      <w:pPr>
        <w:pStyle w:val="FirstParagraph"/>
      </w:pPr>
      <w:r>
        <w:t xml:space="preserve">Одномодовое оптоволокно:</w:t>
      </w:r>
    </w:p>
    <w:p>
      <w:pPr>
        <w:numPr>
          <w:ilvl w:val="0"/>
          <w:numId w:val="1008"/>
        </w:numPr>
      </w:pPr>
      <w:r>
        <w:t xml:space="preserve">Магистральные линии</w:t>
      </w:r>
    </w:p>
    <w:p>
      <w:pPr>
        <w:numPr>
          <w:ilvl w:val="0"/>
          <w:numId w:val="1008"/>
        </w:numPr>
      </w:pPr>
      <w:r>
        <w:t xml:space="preserve">Соединения между зданиями и городами</w:t>
      </w:r>
    </w:p>
    <w:p>
      <w:pPr>
        <w:numPr>
          <w:ilvl w:val="0"/>
          <w:numId w:val="1008"/>
        </w:numPr>
      </w:pPr>
      <w:r>
        <w:t xml:space="preserve">Телекоммуникационные сети на большие расстояния</w:t>
      </w:r>
    </w:p>
    <w:p>
      <w:pPr>
        <w:numPr>
          <w:ilvl w:val="0"/>
          <w:numId w:val="1008"/>
        </w:numPr>
      </w:pPr>
      <w:r>
        <w:t xml:space="preserve">Высокая пропускная способность на большом расстоянии</w:t>
      </w:r>
    </w:p>
    <w:p>
      <w:pPr>
        <w:numPr>
          <w:ilvl w:val="0"/>
          <w:numId w:val="1008"/>
        </w:numPr>
      </w:pPr>
      <w:r>
        <w:t xml:space="preserve">Перспектива наращивания скорости передачи</w:t>
      </w:r>
    </w:p>
    <w:p>
      <w:pPr>
        <w:pStyle w:val="FirstParagraph"/>
      </w:pPr>
      <w:r>
        <w:rPr>
          <w:b/>
          <w:bCs/>
        </w:rPr>
        <w:t xml:space="preserve">4. Какие разъёмы встречаются на патчах оптоволокна? Чем они отличаются?</w:t>
      </w:r>
    </w:p>
    <w:p>
      <w:pPr>
        <w:pStyle w:val="BodyText"/>
      </w:pPr>
      <w:r>
        <w:t xml:space="preserve">Основные типы разъемов:</w:t>
      </w:r>
    </w:p>
    <w:p>
      <w:pPr>
        <w:numPr>
          <w:ilvl w:val="0"/>
          <w:numId w:val="1009"/>
        </w:numPr>
      </w:pPr>
      <w:r>
        <w:t xml:space="preserve">SC (Subscriber Connector):</w:t>
      </w:r>
    </w:p>
    <w:p>
      <w:pPr>
        <w:numPr>
          <w:ilvl w:val="1"/>
          <w:numId w:val="1010"/>
        </w:numPr>
      </w:pPr>
      <w:r>
        <w:t xml:space="preserve">Квадратная форма с защелкой</w:t>
      </w:r>
    </w:p>
    <w:p>
      <w:pPr>
        <w:numPr>
          <w:ilvl w:val="1"/>
          <w:numId w:val="1010"/>
        </w:numPr>
      </w:pPr>
      <w:r>
        <w:t xml:space="preserve">Подключение типа</w:t>
      </w:r>
      <w:r>
        <w:t xml:space="preserve"> </w:t>
      </w:r>
      <w:r>
        <w:t xml:space="preserve">“</w:t>
      </w:r>
      <w:r>
        <w:t xml:space="preserve">push-pull</w:t>
      </w:r>
      <w:r>
        <w:t xml:space="preserve">”</w:t>
      </w:r>
    </w:p>
    <w:p>
      <w:pPr>
        <w:numPr>
          <w:ilvl w:val="1"/>
          <w:numId w:val="1010"/>
        </w:numPr>
      </w:pPr>
      <w:r>
        <w:t xml:space="preserve">Для одномодового и многомодового волокна</w:t>
      </w:r>
    </w:p>
    <w:p>
      <w:pPr>
        <w:numPr>
          <w:ilvl w:val="0"/>
          <w:numId w:val="1009"/>
        </w:numPr>
      </w:pPr>
      <w:r>
        <w:t xml:space="preserve">LC (Lucent Connector):</w:t>
      </w:r>
    </w:p>
    <w:p>
      <w:pPr>
        <w:numPr>
          <w:ilvl w:val="1"/>
          <w:numId w:val="1011"/>
        </w:numPr>
      </w:pPr>
      <w:r>
        <w:t xml:space="preserve">Миниатюрный разъем с язычком-фиксатором</w:t>
      </w:r>
    </w:p>
    <w:p>
      <w:pPr>
        <w:numPr>
          <w:ilvl w:val="1"/>
          <w:numId w:val="1011"/>
        </w:numPr>
      </w:pPr>
      <w:r>
        <w:t xml:space="preserve">Высокая плотность монтажа</w:t>
      </w:r>
    </w:p>
    <w:p>
      <w:pPr>
        <w:numPr>
          <w:ilvl w:val="1"/>
          <w:numId w:val="1011"/>
        </w:numPr>
      </w:pPr>
      <w:r>
        <w:t xml:space="preserve">Наиболее распространен в современном оборудовании</w:t>
      </w:r>
    </w:p>
    <w:p>
      <w:pPr>
        <w:numPr>
          <w:ilvl w:val="0"/>
          <w:numId w:val="1009"/>
        </w:numPr>
      </w:pPr>
      <w:r>
        <w:t xml:space="preserve">ST (Straight Tip):</w:t>
      </w:r>
    </w:p>
    <w:p>
      <w:pPr>
        <w:numPr>
          <w:ilvl w:val="1"/>
          <w:numId w:val="1012"/>
        </w:numPr>
      </w:pPr>
      <w:r>
        <w:t xml:space="preserve">Байонетный тип соединения</w:t>
      </w:r>
    </w:p>
    <w:p>
      <w:pPr>
        <w:numPr>
          <w:ilvl w:val="1"/>
          <w:numId w:val="1012"/>
        </w:numPr>
      </w:pPr>
      <w:r>
        <w:t xml:space="preserve">Цилиндрический наконечник</w:t>
      </w:r>
    </w:p>
    <w:p>
      <w:pPr>
        <w:numPr>
          <w:ilvl w:val="1"/>
          <w:numId w:val="1012"/>
        </w:numPr>
      </w:pPr>
      <w:r>
        <w:t xml:space="preserve">Менее популярен в современных сетях</w:t>
      </w:r>
    </w:p>
    <w:p>
      <w:pPr>
        <w:numPr>
          <w:ilvl w:val="0"/>
          <w:numId w:val="1009"/>
        </w:numPr>
      </w:pPr>
      <w:r>
        <w:t xml:space="preserve">FC (Ferrule Connector):</w:t>
      </w:r>
    </w:p>
    <w:p>
      <w:pPr>
        <w:numPr>
          <w:ilvl w:val="1"/>
          <w:numId w:val="1013"/>
        </w:numPr>
      </w:pPr>
      <w:r>
        <w:t xml:space="preserve">Резьбовой тип соединения</w:t>
      </w:r>
    </w:p>
    <w:p>
      <w:pPr>
        <w:numPr>
          <w:ilvl w:val="1"/>
          <w:numId w:val="1013"/>
        </w:numPr>
      </w:pPr>
      <w:r>
        <w:t xml:space="preserve">Высокая надежность фиксации</w:t>
      </w:r>
    </w:p>
    <w:p>
      <w:pPr>
        <w:numPr>
          <w:ilvl w:val="1"/>
          <w:numId w:val="1013"/>
        </w:numPr>
      </w:pPr>
      <w:r>
        <w:t xml:space="preserve">Используется в телекоммуникационной инфраструктуре</w:t>
      </w:r>
    </w:p>
    <w:p>
      <w:pPr>
        <w:numPr>
          <w:ilvl w:val="0"/>
          <w:numId w:val="1009"/>
        </w:numPr>
      </w:pPr>
      <w:r>
        <w:t xml:space="preserve">MTP/MPO (Multiple-Fiber Push-On/Pull-Off):</w:t>
      </w:r>
    </w:p>
    <w:p>
      <w:pPr>
        <w:numPr>
          <w:ilvl w:val="1"/>
          <w:numId w:val="1014"/>
        </w:numPr>
      </w:pPr>
      <w:r>
        <w:t xml:space="preserve">Многоволоконный разъем (12, 24 или 72 волокна)</w:t>
      </w:r>
    </w:p>
    <w:p>
      <w:pPr>
        <w:numPr>
          <w:ilvl w:val="1"/>
          <w:numId w:val="1014"/>
        </w:numPr>
      </w:pPr>
      <w:r>
        <w:t xml:space="preserve">Для высокоплотных соединений</w:t>
      </w:r>
    </w:p>
    <w:p>
      <w:pPr>
        <w:numPr>
          <w:ilvl w:val="1"/>
          <w:numId w:val="1014"/>
        </w:numPr>
      </w:pPr>
      <w:r>
        <w:t xml:space="preserve">Применяется в центрах обработки данных</w:t>
      </w:r>
    </w:p>
    <w:p>
      <w:pPr>
        <w:pStyle w:val="FirstParagraph"/>
      </w:pPr>
      <w:r>
        <w:t xml:space="preserve">Отличия: тип механизма фиксации, размер, количество соединяемых волокон, потери на соединении, область применения, совместимость с оборудованием.</w:t>
      </w:r>
    </w:p>
    <w:bookmarkEnd w:id="64"/>
    <w:bookmarkEnd w:id="65"/>
    <w:bookmarkStart w:id="66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я получил навыки работы с физической рабочей областью Packet Tracer,</w:t>
      </w:r>
      <w:r>
        <w:t xml:space="preserve"> </w:t>
      </w:r>
      <w:r>
        <w:t xml:space="preserve">а также учел физические параметры сети.</w:t>
      </w:r>
    </w:p>
    <w:bookmarkEnd w:id="66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Start w:id="68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Packet Tracer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67">
        <w:r>
          <w:rPr>
            <w:rStyle w:val="Hyperlink"/>
          </w:rPr>
          <w:t xml:space="preserve">https://ru.wikipedia.org/wiki/Packet Tracer</w:t>
        </w:r>
      </w:hyperlink>
      <w:r>
        <w:t xml:space="preserve">.</w:t>
      </w:r>
    </w:p>
    <w:bookmarkEnd w:id="68"/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hyperlink" Id="rId67" Target="https://ru.wikipedia.org/wiki/Packet 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ru.wikipedia.org/wiki/Packet 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Боровиков Даниил Александрович НПИбд-01-22</dc:creator>
  <dc:language>ru-RU</dc:language>
  <cp:keywords/>
  <dcterms:created xsi:type="dcterms:W3CDTF">2025-03-29T14:55:15Z</dcterms:created>
  <dcterms:modified xsi:type="dcterms:W3CDTF">2025-03-29T14:55:15Z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