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1.png" ContentType="image/png"/>
  <Override PartName="/word/media/rId34.png" ContentType="image/png"/>
  <Override PartName="/word/media/rId58.png" ContentType="image/png"/>
  <Override PartName="/word/media/rId64.png" ContentType="image/png"/>
  <Override PartName="/word/media/rId70.png" ContentType="image/png"/>
  <Override PartName="/word/media/rId51.png" ContentType="image/png"/>
  <Override PartName="/word/media/rId67.png" ContentType="image/png"/>
  <Override PartName="/word/media/rId73.png" ContentType="image/png"/>
  <Override PartName="/word/media/rId28.png" ContentType="image/png"/>
  <Override PartName="/word/media/rId47.png" ContentType="image/png"/>
  <Override PartName="/word/media/rId37.png" ContentType="image/png"/>
  <Override PartName="/word/media/rId31.png" ContentType="image/png"/>
  <Override PartName="/word/media/rId97.png" ContentType="image/png"/>
  <Override PartName="/word/media/rId100.png" ContentType="image/png"/>
  <Override PartName="/word/media/rId40.png" ContentType="image/png"/>
  <Override PartName="/word/media/rId85.png" ContentType="image/png"/>
  <Override PartName="/word/media/rId88.png" ContentType="image/png"/>
  <Override PartName="/word/media/rId81.png" ContentType="image/png"/>
  <Override PartName="/word/media/rId9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Кибербезопасность</w:t>
      </w:r>
      <w:r>
        <w:t xml:space="preserve"> </w:t>
      </w:r>
      <w:r>
        <w:t xml:space="preserve">предприятия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</w:p>
    <w:p>
      <w:pPr>
        <w:pStyle w:val="Author"/>
      </w:pPr>
      <w:r>
        <w:t xml:space="preserve">Хрусталев</w:t>
      </w:r>
      <w:r>
        <w:t xml:space="preserve"> </w:t>
      </w:r>
      <w:r>
        <w:t xml:space="preserve">Влад</w:t>
      </w:r>
    </w:p>
    <w:p>
      <w:pPr>
        <w:pStyle w:val="Author"/>
      </w:pPr>
      <w:r>
        <w:t xml:space="preserve">Гисматуллин</w:t>
      </w:r>
      <w:r>
        <w:t xml:space="preserve"> </w:t>
      </w:r>
      <w:r>
        <w:t xml:space="preserve">Артём</w:t>
      </w:r>
    </w:p>
    <w:p>
      <w:pPr>
        <w:pStyle w:val="Author"/>
      </w:pPr>
      <w:r>
        <w:t xml:space="preserve">Чесноков</w:t>
      </w:r>
      <w:r>
        <w:t xml:space="preserve"> </w:t>
      </w:r>
      <w:r>
        <w:t xml:space="preserve">Артёмий</w:t>
      </w:r>
    </w:p>
    <w:p>
      <w:pPr>
        <w:pStyle w:val="Author"/>
      </w:pPr>
      <w:r>
        <w:t xml:space="preserve">Коннова</w:t>
      </w:r>
      <w:r>
        <w:t xml:space="preserve"> </w:t>
      </w:r>
      <w:r>
        <w:t xml:space="preserve">Татьяна</w:t>
      </w:r>
    </w:p>
    <w:p>
      <w:pPr>
        <w:pStyle w:val="Author"/>
      </w:pPr>
      <w:r>
        <w:t xml:space="preserve">Нефедова</w:t>
      </w:r>
      <w:r>
        <w:t xml:space="preserve"> </w:t>
      </w:r>
      <w:r>
        <w:t xml:space="preserve">Наталья</w:t>
      </w:r>
    </w:p>
    <w:p>
      <w:pPr>
        <w:pStyle w:val="Author"/>
      </w:pPr>
      <w:r>
        <w:t xml:space="preserve">Уткина</w:t>
      </w:r>
      <w:r>
        <w:t xml:space="preserve"> </w:t>
      </w:r>
      <w:r>
        <w:t xml:space="preserve">Алина</w:t>
      </w:r>
    </w:p>
    <w:p>
      <w:pPr>
        <w:pStyle w:val="Author"/>
      </w:pPr>
      <w:r>
        <w:t xml:space="preserve">Бансимба</w:t>
      </w:r>
      <w:r>
        <w:t xml:space="preserve"> </w:t>
      </w:r>
      <w:r>
        <w:t xml:space="preserve">Клодели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В рамках лабораторной работы проведен анализ трех уязвимых узлов с различными типами уязвимостей. Использовались инструменты мониторинга и защиты: ViPNet IDS NS, Security Onion, а также встроенные средства операционных систем для обнаружения и нейтрализации атак.</w:t>
      </w:r>
    </w:p>
    <w:bookmarkStart w:id="20" w:name="используемые-инструмен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Используемые инструменты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ViPNet IDS NS</w:t>
      </w:r>
      <w:r>
        <w:t xml:space="preserve"> </w:t>
      </w:r>
      <w:r>
        <w:t xml:space="preserve">- обнаружение сетевых атак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Onion</w:t>
      </w:r>
      <w:r>
        <w:t xml:space="preserve"> </w:t>
      </w:r>
      <w:r>
        <w:t xml:space="preserve">- мониторинг сетевой безопасности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Системные утилиты</w:t>
      </w:r>
      <w:r>
        <w:t xml:space="preserve"> </w:t>
      </w:r>
      <w:r>
        <w:t xml:space="preserve">(ss, netstat, taskkill) - анализ процессов и соединений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5" w:name="уязвимый-узел-wpdiscuz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Уязвимый узел: WpDiscuz</w:t>
      </w:r>
    </w:p>
    <w:bookmarkStart w:id="23" w:name="описание-уязвимос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Описание уязвимости</w:t>
      </w:r>
    </w:p>
    <w:p>
      <w:pPr>
        <w:pStyle w:val="FirstParagraph"/>
      </w:pPr>
      <w:r>
        <w:rPr>
          <w:b/>
          <w:bCs/>
        </w:rPr>
        <w:t xml:space="preserve">CVE-2020-24186</w:t>
      </w:r>
      <w:r>
        <w:t xml:space="preserve"> </w:t>
      </w:r>
      <w:r>
        <w:t xml:space="preserve">- уязвимость удаленного выполнения кода в плагине WordPress WpDiscuz версий 7.0.0-7.0.4. Позволяет загружать произвольные PHP-файлы через функционал комментариев без аутентификации.</w:t>
      </w:r>
    </w:p>
    <w:bookmarkStart w:id="22" w:name="обнаружение-уязвимост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Обнаружение уязвимости</w:t>
      </w:r>
    </w:p>
    <w:p>
      <w:pPr>
        <w:pStyle w:val="Compact"/>
        <w:numPr>
          <w:ilvl w:val="0"/>
          <w:numId w:val="1002"/>
        </w:numPr>
      </w:pPr>
      <w:r>
        <w:t xml:space="preserve">Обнаружена активная версия плагина 7.0.2 (рис. 2)</w:t>
      </w:r>
    </w:p>
    <w:p>
      <w:pPr>
        <w:pStyle w:val="Compact"/>
        <w:numPr>
          <w:ilvl w:val="0"/>
          <w:numId w:val="1002"/>
        </w:numPr>
      </w:pPr>
      <w:r>
        <w:t xml:space="preserve">Выявлены вредоносные файлы в директории веб-сервера (рис. 1)</w:t>
      </w:r>
    </w:p>
    <w:bookmarkEnd w:id="22"/>
    <w:bookmarkEnd w:id="23"/>
    <w:bookmarkStart w:id="27" w:name="эксплуатация-и-последств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Эксплуатация и последствия</w:t>
      </w:r>
    </w:p>
    <w:p>
      <w:pPr>
        <w:pStyle w:val="Compact"/>
        <w:numPr>
          <w:ilvl w:val="0"/>
          <w:numId w:val="1003"/>
        </w:numPr>
      </w:pPr>
      <w:r>
        <w:t xml:space="preserve">Устранение backdoor-файлов (AM_Backdoor.aspx) (рис. 1)</w:t>
      </w:r>
    </w:p>
    <w:p>
      <w:pPr>
        <w:pStyle w:val="Compact"/>
        <w:numPr>
          <w:ilvl w:val="0"/>
          <w:numId w:val="1003"/>
        </w:numPr>
      </w:pPr>
      <w:r>
        <w:t xml:space="preserve">Установление обратных соединений с хостом нарушителя</w:t>
      </w:r>
    </w:p>
    <w:p>
      <w:pPr>
        <w:pStyle w:val="Compact"/>
        <w:numPr>
          <w:ilvl w:val="0"/>
          <w:numId w:val="1003"/>
        </w:numPr>
      </w:pPr>
      <w:r>
        <w:t xml:space="preserve">Изменение содержимого веб-сайта</w:t>
      </w:r>
    </w:p>
    <w:p>
      <w:pPr>
        <w:pStyle w:val="CaptionedFigure"/>
      </w:pPr>
      <w:r>
        <w:drawing>
          <wp:inline>
            <wp:extent cx="5334000" cy="5428686"/>
            <wp:effectExtent b="0" l="0" r="0" t="0"/>
            <wp:docPr descr="Вредоносные файлы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8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Вредоносные файлы</w:t>
      </w:r>
    </w:p>
    <w:bookmarkEnd w:id="27"/>
    <w:bookmarkStart w:id="44" w:name="устранение-уязвимост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Устранение уязвимости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Деактивация уязвимого плагина</w:t>
      </w:r>
      <w:r>
        <w:t xml:space="preserve"> </w:t>
      </w:r>
      <w:r>
        <w:t xml:space="preserve">(рис. 2)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Восстановление из резервной копии</w:t>
      </w:r>
      <w:r>
        <w:t xml:space="preserve"> </w:t>
      </w:r>
      <w:r>
        <w:t xml:space="preserve">через плагин UpdraftPlus (рис. 3, рис. 4, (рис. 5)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Завершение вредоносных соединений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kill 1840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kill 1873  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kill 1874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-tmp</w:t>
      </w:r>
    </w:p>
    <w:p>
      <w:pPr>
        <w:numPr>
          <w:ilvl w:val="0"/>
          <w:numId w:val="1000"/>
        </w:numPr>
      </w:pPr>
      <w:r>
        <w:t xml:space="preserve">(рис. 6)</w:t>
      </w:r>
    </w:p>
    <w:p>
      <w:pPr>
        <w:pStyle w:val="CaptionedFigure"/>
      </w:pPr>
      <w:r>
        <w:drawing>
          <wp:inline>
            <wp:extent cx="5334000" cy="1493519"/>
            <wp:effectExtent b="0" l="0" r="0" t="0"/>
            <wp:docPr descr="Активная версия плагина" title="" id="29" name="Picture"/>
            <a:graphic>
              <a:graphicData uri="http://schemas.openxmlformats.org/drawingml/2006/picture">
                <pic:pic>
                  <pic:nvPicPr>
                    <pic:cNvPr descr="image/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Активная версия плагина</w:t>
      </w:r>
    </w:p>
    <w:p>
      <w:pPr>
        <w:pStyle w:val="CaptionedFigure"/>
      </w:pPr>
      <w:r>
        <w:drawing>
          <wp:inline>
            <wp:extent cx="5334000" cy="4784745"/>
            <wp:effectExtent b="0" l="0" r="0" t="0"/>
            <wp:docPr descr="Восстановление из резервной копии" title="" id="32" name="Picture"/>
            <a:graphic>
              <a:graphicData uri="http://schemas.openxmlformats.org/drawingml/2006/picture">
                <pic:pic>
                  <pic:nvPicPr>
                    <pic:cNvPr descr="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4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Восстановление из резервной копии</w:t>
      </w:r>
    </w:p>
    <w:p>
      <w:pPr>
        <w:pStyle w:val="CaptionedFigure"/>
      </w:pPr>
      <w:r>
        <w:drawing>
          <wp:inline>
            <wp:extent cx="5334000" cy="4181627"/>
            <wp:effectExtent b="0" l="0" r="0" t="0"/>
            <wp:docPr descr="Восстановление из резервной копии" title="" id="35" name="Picture"/>
            <a:graphic>
              <a:graphicData uri="http://schemas.openxmlformats.org/drawingml/2006/picture">
                <pic:pic>
                  <pic:nvPicPr>
                    <pic:cNvPr descr="image/01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Восстановление из резервной копии</w:t>
      </w:r>
    </w:p>
    <w:p>
      <w:pPr>
        <w:pStyle w:val="CaptionedFigure"/>
      </w:pPr>
      <w:r>
        <w:drawing>
          <wp:inline>
            <wp:extent cx="5334000" cy="1940705"/>
            <wp:effectExtent b="0" l="0" r="0" t="0"/>
            <wp:docPr descr="Восстановление из резервной копии" title="" id="38" name="Picture"/>
            <a:graphic>
              <a:graphicData uri="http://schemas.openxmlformats.org/drawingml/2006/picture">
                <pic:pic>
                  <pic:nvPicPr>
                    <pic:cNvPr descr="image/02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0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Восстановление из резервной копии</w:t>
      </w:r>
    </w:p>
    <w:p>
      <w:pPr>
        <w:pStyle w:val="CaptionedFigure"/>
      </w:pPr>
      <w:r>
        <w:drawing>
          <wp:inline>
            <wp:extent cx="5334000" cy="5294861"/>
            <wp:effectExtent b="0" l="0" r="0" t="0"/>
            <wp:docPr descr="Завершение вредоносных соединений" title="" id="41" name="Picture"/>
            <a:graphic>
              <a:graphicData uri="http://schemas.openxmlformats.org/drawingml/2006/picture">
                <pic:pic>
                  <pic:nvPicPr>
                    <pic:cNvPr descr="image/0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4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Завершение вредоносных соединений</w:t>
      </w:r>
    </w:p>
    <w:bookmarkStart w:id="43" w:name="проверка-устранения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Проверка устранения</w:t>
      </w:r>
    </w:p>
    <w:p>
      <w:pPr>
        <w:pStyle w:val="Compact"/>
        <w:numPr>
          <w:ilvl w:val="0"/>
          <w:numId w:val="1005"/>
        </w:numPr>
      </w:pPr>
      <w:r>
        <w:t xml:space="preserve">Отсутствие активных соединений с хостом нарушителя</w:t>
      </w:r>
    </w:p>
    <w:p>
      <w:pPr>
        <w:pStyle w:val="Compact"/>
        <w:numPr>
          <w:ilvl w:val="0"/>
          <w:numId w:val="1005"/>
        </w:numPr>
      </w:pPr>
      <w:r>
        <w:t xml:space="preserve">Восстановлена оригинальная версия сайта</w:t>
      </w:r>
    </w:p>
    <w:p>
      <w:pPr>
        <w:pStyle w:val="Compact"/>
        <w:numPr>
          <w:ilvl w:val="0"/>
          <w:numId w:val="1005"/>
        </w:numPr>
      </w:pPr>
      <w:r>
        <w:t xml:space="preserve">Плагин деактивирован или обновлен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78" w:name="уязвимый-узел-rocketchat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Уязвимый узел: RocketChat</w:t>
      </w:r>
    </w:p>
    <w:bookmarkStart w:id="46" w:name="описание-уязвимостей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Описание уязвимостей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CVE-2021-22911</w:t>
      </w:r>
      <w:r>
        <w:t xml:space="preserve"> </w:t>
      </w:r>
      <w:r>
        <w:t xml:space="preserve">- NoSQL-инъекция, позволяющая повышение привилегий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CVE-2022-0847</w:t>
      </w:r>
      <w:r>
        <w:t xml:space="preserve"> </w:t>
      </w:r>
      <w:r>
        <w:t xml:space="preserve">(Dirty Pipe) - уязвимость повышения привилегий в ядре Linux</w:t>
      </w:r>
    </w:p>
    <w:bookmarkEnd w:id="46"/>
    <w:bookmarkStart w:id="50" w:name="обнаружение-уязвимостей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Обнаружение уязвимостей</w:t>
      </w:r>
    </w:p>
    <w:p>
      <w:pPr>
        <w:pStyle w:val="Compact"/>
        <w:numPr>
          <w:ilvl w:val="0"/>
          <w:numId w:val="1007"/>
        </w:numPr>
      </w:pPr>
      <w:r>
        <w:t xml:space="preserve">Обнаружены подозрительные запросы в логах RocketChat</w:t>
      </w:r>
    </w:p>
    <w:p>
      <w:pPr>
        <w:pStyle w:val="Compact"/>
        <w:numPr>
          <w:ilvl w:val="0"/>
          <w:numId w:val="1007"/>
        </w:numPr>
      </w:pPr>
      <w:r>
        <w:t xml:space="preserve">Выявлены несанкционированные подключения к БД (рис. 7)</w:t>
      </w:r>
    </w:p>
    <w:p>
      <w:pPr>
        <w:pStyle w:val="CaptionedFigure"/>
      </w:pPr>
      <w:r>
        <w:drawing>
          <wp:inline>
            <wp:extent cx="5334000" cy="965756"/>
            <wp:effectExtent b="0" l="0" r="0" t="0"/>
            <wp:docPr descr="Несанкционированные подключения" title="" id="48" name="Picture"/>
            <a:graphic>
              <a:graphicData uri="http://schemas.openxmlformats.org/drawingml/2006/picture">
                <pic:pic>
                  <pic:nvPicPr>
                    <pic:cNvPr descr="image/02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5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Несанкционированные подключения</w:t>
      </w:r>
    </w:p>
    <w:bookmarkEnd w:id="50"/>
    <w:bookmarkStart w:id="54" w:name="эксплуатация-и-последствия-1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Эксплуатация и последствия</w:t>
      </w:r>
    </w:p>
    <w:p>
      <w:pPr>
        <w:pStyle w:val="Compact"/>
        <w:numPr>
          <w:ilvl w:val="0"/>
          <w:numId w:val="1008"/>
        </w:numPr>
      </w:pPr>
      <w:r>
        <w:t xml:space="preserve">Несанкционированный доступ к учетной записи администратора</w:t>
      </w:r>
    </w:p>
    <w:p>
      <w:pPr>
        <w:pStyle w:val="Compact"/>
        <w:numPr>
          <w:ilvl w:val="0"/>
          <w:numId w:val="1008"/>
        </w:numPr>
      </w:pPr>
      <w:r>
        <w:t xml:space="preserve">Создание backdoor-соединений (рис. 8)</w:t>
      </w:r>
    </w:p>
    <w:p>
      <w:pPr>
        <w:pStyle w:val="Compact"/>
        <w:numPr>
          <w:ilvl w:val="0"/>
          <w:numId w:val="1008"/>
        </w:numPr>
      </w:pPr>
      <w:r>
        <w:t xml:space="preserve">Модификация системных файлов</w:t>
      </w:r>
    </w:p>
    <w:p>
      <w:pPr>
        <w:pStyle w:val="CaptionedFigure"/>
      </w:pPr>
      <w:r>
        <w:drawing>
          <wp:inline>
            <wp:extent cx="5334000" cy="2161708"/>
            <wp:effectExtent b="0" l="0" r="0" t="0"/>
            <wp:docPr descr="Создание backdoor-соединений 2" title="" id="52" name="Picture"/>
            <a:graphic>
              <a:graphicData uri="http://schemas.openxmlformats.org/drawingml/2006/picture">
                <pic:pic>
                  <pic:nvPicPr>
                    <pic:cNvPr descr="image/01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backdoor-соединений 2</w:t>
      </w:r>
    </w:p>
    <w:bookmarkEnd w:id="54"/>
    <w:bookmarkStart w:id="76" w:name="устранение-уязвимостей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Устранение уязвимостей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Сброс пароля администратора</w:t>
      </w:r>
      <w:r>
        <w:t xml:space="preserve"> </w:t>
      </w:r>
      <w:r>
        <w:t xml:space="preserve">через почтовое уведомление (рис. 9, рис. 10)</w:t>
      </w:r>
    </w:p>
    <w:p>
      <w:pPr>
        <w:pStyle w:val="CaptionedFigure"/>
      </w:pPr>
      <w:r>
        <w:drawing>
          <wp:inline>
            <wp:extent cx="5334000" cy="4039152"/>
            <wp:effectExtent b="0" l="0" r="0" t="0"/>
            <wp:docPr descr="Сброс пароля администратора" title="" id="56" name="Picture"/>
            <a:graphic>
              <a:graphicData uri="http://schemas.openxmlformats.org/drawingml/2006/picture">
                <pic:pic>
                  <pic:nvPicPr>
                    <pic:cNvPr descr="image/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9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Сброс пароля администратора</w:t>
      </w:r>
    </w:p>
    <w:p>
      <w:pPr>
        <w:pStyle w:val="CaptionedFigure"/>
      </w:pPr>
      <w:r>
        <w:drawing>
          <wp:inline>
            <wp:extent cx="5334000" cy="3588453"/>
            <wp:effectExtent b="0" l="0" r="0" t="0"/>
            <wp:docPr descr="Сброс пароля администратора 2" title="" id="59" name="Picture"/>
            <a:graphic>
              <a:graphicData uri="http://schemas.openxmlformats.org/drawingml/2006/picture">
                <pic:pic>
                  <pic:nvPicPr>
                    <pic:cNvPr descr="image/0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8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Сброс пароля администратора 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Настройка двухфакторной аутентификации</w:t>
      </w:r>
      <w:r>
        <w:t xml:space="preserve"> </w:t>
      </w:r>
      <w:r>
        <w:t xml:space="preserve">(рис. 11, рис. 12, рис. 13)</w:t>
      </w:r>
    </w:p>
    <w:p>
      <w:pPr>
        <w:pStyle w:val="CaptionedFigure"/>
      </w:pPr>
      <w:r>
        <w:drawing>
          <wp:inline>
            <wp:extent cx="5334000" cy="4881326"/>
            <wp:effectExtent b="0" l="0" r="0" t="0"/>
            <wp:docPr descr="Настройка" title="" id="62" name="Picture"/>
            <a:graphic>
              <a:graphicData uri="http://schemas.openxmlformats.org/drawingml/2006/picture">
                <pic:pic>
                  <pic:nvPicPr>
                    <pic:cNvPr descr="image/0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</w:t>
      </w:r>
    </w:p>
    <w:p>
      <w:pPr>
        <w:pStyle w:val="CaptionedFigure"/>
      </w:pPr>
      <w:r>
        <w:drawing>
          <wp:inline>
            <wp:extent cx="5334000" cy="4526009"/>
            <wp:effectExtent b="0" l="0" r="0" t="0"/>
            <wp:docPr descr="Настройка" title="" id="65" name="Picture"/>
            <a:graphic>
              <a:graphicData uri="http://schemas.openxmlformats.org/drawingml/2006/picture">
                <pic:pic>
                  <pic:nvPicPr>
                    <pic:cNvPr descr="image/0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6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</w:t>
      </w:r>
    </w:p>
    <w:p>
      <w:pPr>
        <w:pStyle w:val="CaptionedFigure"/>
      </w:pPr>
      <w:r>
        <w:drawing>
          <wp:inline>
            <wp:extent cx="5334000" cy="7300622"/>
            <wp:effectExtent b="0" l="0" r="0" t="0"/>
            <wp:docPr descr="Настройка" title="" id="68" name="Picture"/>
            <a:graphic>
              <a:graphicData uri="http://schemas.openxmlformats.org/drawingml/2006/picture">
                <pic:pic>
                  <pic:nvPicPr>
                    <pic:cNvPr descr="image/01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00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Отключение выполнения JavaScript в MongoDB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javascriptEnabled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numPr>
          <w:ilvl w:val="0"/>
          <w:numId w:val="1000"/>
        </w:numPr>
      </w:pPr>
      <w:r>
        <w:t xml:space="preserve">(рис. 14)</w:t>
      </w:r>
    </w:p>
    <w:p>
      <w:pPr>
        <w:pStyle w:val="CaptionedFigure"/>
      </w:pPr>
      <w:r>
        <w:drawing>
          <wp:inline>
            <wp:extent cx="5334000" cy="3204456"/>
            <wp:effectExtent b="0" l="0" r="0" t="0"/>
            <wp:docPr descr="Отключение выполнения JavaScript в MongoDB" title="" id="71" name="Picture"/>
            <a:graphic>
              <a:graphicData uri="http://schemas.openxmlformats.org/drawingml/2006/picture">
                <pic:pic>
                  <pic:nvPicPr>
                    <pic:cNvPr descr="image/0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Отключение выполнения JavaScript в MongoDB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Восстановление базы данных</w:t>
      </w:r>
      <w:r>
        <w:t xml:space="preserve"> </w:t>
      </w:r>
      <w:r>
        <w:t xml:space="preserve">из резервной копии: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rocketchat.service</w:t>
      </w:r>
      <w:r>
        <w:br/>
      </w:r>
      <w:r>
        <w:rPr>
          <w:rStyle w:val="ExtensionTok"/>
        </w:rPr>
        <w:t xml:space="preserve">mongo</w:t>
      </w:r>
      <w:r>
        <w:rPr>
          <w:rStyle w:val="NormalTok"/>
        </w:rPr>
        <w:t xml:space="preserve"> rocketchat </w:t>
      </w:r>
      <w:r>
        <w:rPr>
          <w:rStyle w:val="AttributeTok"/>
        </w:rPr>
        <w:t xml:space="preserve">--eval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"db.dropDatabase()"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mongorestore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rocketchat </w:t>
      </w:r>
      <w:r>
        <w:rPr>
          <w:rStyle w:val="AttributeTok"/>
        </w:rPr>
        <w:t xml:space="preserve">--drop</w:t>
      </w:r>
      <w:r>
        <w:rPr>
          <w:rStyle w:val="NormalTok"/>
        </w:rPr>
        <w:t xml:space="preserve"> /var/backups/mongobackups/rocketchat</w:t>
      </w:r>
    </w:p>
    <w:p>
      <w:pPr>
        <w:numPr>
          <w:ilvl w:val="0"/>
          <w:numId w:val="1000"/>
        </w:numPr>
      </w:pPr>
      <w:r>
        <w:t xml:space="preserve">(рис. 15)</w:t>
      </w:r>
    </w:p>
    <w:p>
      <w:pPr>
        <w:pStyle w:val="CaptionedFigure"/>
      </w:pPr>
      <w:r>
        <w:drawing>
          <wp:inline>
            <wp:extent cx="5334000" cy="5597082"/>
            <wp:effectExtent b="0" l="0" r="0" t="0"/>
            <wp:docPr descr="Восстановление базы данных" title="" id="74" name="Picture"/>
            <a:graphic>
              <a:graphicData uri="http://schemas.openxmlformats.org/drawingml/2006/picture">
                <pic:pic>
                  <pic:nvPicPr>
                    <pic:cNvPr descr="image/01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Восстановление базы данных</w:t>
      </w:r>
    </w:p>
    <w:bookmarkEnd w:id="76"/>
    <w:bookmarkStart w:id="77" w:name="проверка-устранения-1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Проверка устранения</w:t>
      </w:r>
    </w:p>
    <w:p>
      <w:pPr>
        <w:pStyle w:val="Compact"/>
        <w:numPr>
          <w:ilvl w:val="0"/>
          <w:numId w:val="1013"/>
        </w:numPr>
      </w:pPr>
      <w:r>
        <w:t xml:space="preserve">Успешная аутентификация с двухфакторной проверкой</w:t>
      </w:r>
    </w:p>
    <w:p>
      <w:pPr>
        <w:pStyle w:val="Compact"/>
        <w:numPr>
          <w:ilvl w:val="0"/>
          <w:numId w:val="1013"/>
        </w:numPr>
      </w:pPr>
      <w:r>
        <w:t xml:space="preserve">Отсутствие вредоносных соединений</w:t>
      </w:r>
    </w:p>
    <w:p>
      <w:pPr>
        <w:pStyle w:val="Compact"/>
        <w:numPr>
          <w:ilvl w:val="0"/>
          <w:numId w:val="1013"/>
        </w:numPr>
      </w:pPr>
      <w:r>
        <w:t xml:space="preserve">Корректная работа всех функций RocketChat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6" w:name="уязвимый-узел-proxylog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Уязвимый узел: Proxylogon</w:t>
      </w:r>
    </w:p>
    <w:bookmarkStart w:id="79" w:name="описание-уязвимостей-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Описание уязвимостей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CVE-2021-26855</w:t>
      </w:r>
      <w:r>
        <w:t xml:space="preserve"> </w:t>
      </w:r>
      <w:r>
        <w:t xml:space="preserve">- SSRF-уязвимость в Exchange Server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CVE-2021-27065</w:t>
      </w:r>
      <w:r>
        <w:t xml:space="preserve"> </w:t>
      </w:r>
      <w:r>
        <w:t xml:space="preserve">- возможность записи файлов в произвольные директории</w:t>
      </w:r>
    </w:p>
    <w:bookmarkEnd w:id="79"/>
    <w:bookmarkStart w:id="80" w:name="обнаружение-уязвимостей-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Обнаружение уязвимостей</w:t>
      </w:r>
    </w:p>
    <w:p>
      <w:pPr>
        <w:pStyle w:val="Compact"/>
        <w:numPr>
          <w:ilvl w:val="0"/>
          <w:numId w:val="1015"/>
        </w:numPr>
      </w:pPr>
      <w:r>
        <w:t xml:space="preserve">Выявлены подозрительные запросы к /ecp (рис. 7)</w:t>
      </w:r>
    </w:p>
    <w:p>
      <w:pPr>
        <w:pStyle w:val="Compact"/>
        <w:numPr>
          <w:ilvl w:val="0"/>
          <w:numId w:val="1015"/>
        </w:numPr>
      </w:pPr>
      <w:r>
        <w:t xml:space="preserve">Обнаружены backdoor-файлы в системных директориях</w:t>
      </w:r>
    </w:p>
    <w:bookmarkEnd w:id="80"/>
    <w:bookmarkStart w:id="84" w:name="эксплуатация-и-последствия-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Эксплуатация и последствия</w:t>
      </w:r>
    </w:p>
    <w:p>
      <w:pPr>
        <w:pStyle w:val="Compact"/>
        <w:numPr>
          <w:ilvl w:val="0"/>
          <w:numId w:val="1016"/>
        </w:numPr>
      </w:pPr>
      <w:r>
        <w:t xml:space="preserve">Создание веб-оболочек (China Chopper)</w:t>
      </w:r>
    </w:p>
    <w:p>
      <w:pPr>
        <w:pStyle w:val="Compact"/>
        <w:numPr>
          <w:ilvl w:val="0"/>
          <w:numId w:val="1016"/>
        </w:numPr>
      </w:pPr>
      <w:r>
        <w:t xml:space="preserve">Установление meterpreter-сессий (рис. 16)</w:t>
      </w:r>
    </w:p>
    <w:p>
      <w:pPr>
        <w:pStyle w:val="Compact"/>
        <w:numPr>
          <w:ilvl w:val="0"/>
          <w:numId w:val="1016"/>
        </w:numPr>
      </w:pPr>
      <w:r>
        <w:t xml:space="preserve">Модификация реестра Windows</w:t>
      </w:r>
    </w:p>
    <w:p>
      <w:pPr>
        <w:pStyle w:val="Compact"/>
        <w:numPr>
          <w:ilvl w:val="0"/>
          <w:numId w:val="1016"/>
        </w:numPr>
      </w:pPr>
      <w:r>
        <w:t xml:space="preserve">Создание вредоносных служб</w:t>
      </w:r>
    </w:p>
    <w:p>
      <w:pPr>
        <w:pStyle w:val="CaptionedFigure"/>
      </w:pPr>
      <w:r>
        <w:drawing>
          <wp:inline>
            <wp:extent cx="5334000" cy="753321"/>
            <wp:effectExtent b="0" l="0" r="0" t="0"/>
            <wp:docPr descr="Установление meterpreter-сессий" title="" id="82" name="Picture"/>
            <a:graphic>
              <a:graphicData uri="http://schemas.openxmlformats.org/drawingml/2006/picture">
                <pic:pic>
                  <pic:nvPicPr>
                    <pic:cNvPr descr="image/0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Установление meterpreter-сессий</w:t>
      </w:r>
    </w:p>
    <w:bookmarkEnd w:id="84"/>
    <w:bookmarkStart w:id="94" w:name="устранение-уязвимостей-1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Устранение уязвимостей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Блокировка доступа к /ecp</w:t>
      </w:r>
      <w:r>
        <w:t xml:space="preserve"> </w:t>
      </w:r>
      <w:r>
        <w:t xml:space="preserve">через IP restrictions в IIS (рис. 17, (рис. 18))</w:t>
      </w:r>
    </w:p>
    <w:p>
      <w:pPr>
        <w:pStyle w:val="CaptionedFigure"/>
      </w:pPr>
      <w:r>
        <w:drawing>
          <wp:inline>
            <wp:extent cx="5334000" cy="3126452"/>
            <wp:effectExtent b="0" l="0" r="0" t="0"/>
            <wp:docPr descr="Блокировка доступа" title="" id="86" name="Picture"/>
            <a:graphic>
              <a:graphicData uri="http://schemas.openxmlformats.org/drawingml/2006/picture">
                <pic:pic>
                  <pic:nvPicPr>
                    <pic:cNvPr descr="image/0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Блокировка доступа</w:t>
      </w:r>
    </w:p>
    <w:p>
      <w:pPr>
        <w:pStyle w:val="CaptionedFigure"/>
      </w:pPr>
      <w:r>
        <w:drawing>
          <wp:inline>
            <wp:extent cx="5334000" cy="3793577"/>
            <wp:effectExtent b="0" l="0" r="0" t="0"/>
            <wp:docPr descr="Блокировка доступа" title="" id="89" name="Picture"/>
            <a:graphic>
              <a:graphicData uri="http://schemas.openxmlformats.org/drawingml/2006/picture">
                <pic:pic>
                  <pic:nvPicPr>
                    <pic:cNvPr descr="image/0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3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Блокировка доступа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Завершение вредоносных процессов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taskkill </w:t>
      </w:r>
      <w:r>
        <w:rPr>
          <w:rStyle w:val="AttributeTok"/>
        </w:rPr>
        <w:t xml:space="preserve">/PID</w:t>
      </w:r>
      <w:r>
        <w:rPr>
          <w:rStyle w:val="NormalTok"/>
        </w:rPr>
        <w:t xml:space="preserve"> 7308 </w:t>
      </w:r>
      <w:r>
        <w:rPr>
          <w:rStyle w:val="AttributeTok"/>
        </w:rPr>
        <w:t xml:space="preserve">/F</w:t>
      </w:r>
      <w:r>
        <w:br/>
      </w:r>
      <w:r>
        <w:rPr>
          <w:rStyle w:val="NormalTok"/>
        </w:rPr>
        <w:t xml:space="preserve">taskkill </w:t>
      </w:r>
      <w:r>
        <w:rPr>
          <w:rStyle w:val="AttributeTok"/>
        </w:rPr>
        <w:t xml:space="preserve">/PID</w:t>
      </w:r>
      <w:r>
        <w:rPr>
          <w:rStyle w:val="NormalTok"/>
        </w:rPr>
        <w:t xml:space="preserve"> 14228 </w:t>
      </w:r>
      <w:r>
        <w:rPr>
          <w:rStyle w:val="AttributeTok"/>
        </w:rPr>
        <w:t xml:space="preserve">/F</w:t>
      </w:r>
    </w:p>
    <w:p>
      <w:pPr>
        <w:numPr>
          <w:ilvl w:val="0"/>
          <w:numId w:val="1000"/>
        </w:numPr>
      </w:pPr>
      <w:r>
        <w:t xml:space="preserve">(рис. 19)</w:t>
      </w:r>
    </w:p>
    <w:p>
      <w:pPr>
        <w:pStyle w:val="CaptionedFigure"/>
      </w:pPr>
      <w:r>
        <w:drawing>
          <wp:inline>
            <wp:extent cx="5334000" cy="1619249"/>
            <wp:effectExtent b="0" l="0" r="0" t="0"/>
            <wp:docPr descr="Завершение вредоносных процессов" title="" id="92" name="Picture"/>
            <a:graphic>
              <a:graphicData uri="http://schemas.openxmlformats.org/drawingml/2006/picture">
                <pic:pic>
                  <pic:nvPicPr>
                    <pic:cNvPr descr="image/0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Завершение вредоносных процессов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Удаление backdoor-файлов</w:t>
      </w:r>
      <w:r>
        <w:t xml:space="preserve"> </w:t>
      </w:r>
      <w:r>
        <w:t xml:space="preserve">из системных директорий</w:t>
      </w:r>
    </w:p>
    <w:bookmarkEnd w:id="94"/>
    <w:bookmarkStart w:id="95" w:name="проверка-устранения-2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Проверка устранения</w:t>
      </w:r>
    </w:p>
    <w:p>
      <w:pPr>
        <w:pStyle w:val="Compact"/>
        <w:numPr>
          <w:ilvl w:val="0"/>
          <w:numId w:val="1020"/>
        </w:numPr>
      </w:pPr>
      <w:r>
        <w:t xml:space="preserve">Отсутствие несанкционированных подключений</w:t>
      </w:r>
    </w:p>
    <w:p>
      <w:pPr>
        <w:pStyle w:val="Compact"/>
        <w:numPr>
          <w:ilvl w:val="0"/>
          <w:numId w:val="1020"/>
        </w:numPr>
      </w:pPr>
      <w:r>
        <w:t xml:space="preserve">Невозможность доступа к /ecp извне</w:t>
      </w:r>
    </w:p>
    <w:p>
      <w:pPr>
        <w:pStyle w:val="Compact"/>
        <w:numPr>
          <w:ilvl w:val="0"/>
          <w:numId w:val="1020"/>
        </w:numPr>
      </w:pPr>
      <w:r>
        <w:t xml:space="preserve">Отсутствие вредоносных файлов и процессов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общие-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Общие выводы</w:t>
      </w:r>
    </w:p>
    <w:p>
      <w:pPr>
        <w:pStyle w:val="FirstParagraph"/>
      </w:pPr>
      <w:r>
        <w:t xml:space="preserve">В ходе лабораторной работы успешно проанализированы и нейтрализованы уязвимости трех различных веб-приложений: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WpDiscuz</w:t>
      </w:r>
      <w:r>
        <w:t xml:space="preserve"> </w:t>
      </w:r>
      <w:r>
        <w:t xml:space="preserve">- уязвимость типа RCE через загрузку файлов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RocketChat</w:t>
      </w:r>
      <w:r>
        <w:t xml:space="preserve"> </w:t>
      </w:r>
      <w:r>
        <w:t xml:space="preserve">- комбинация NoSQL-инъекции и уязвимости ядра ОС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Proxylogon</w:t>
      </w:r>
      <w:r>
        <w:t xml:space="preserve"> </w:t>
      </w:r>
      <w:r>
        <w:t xml:space="preserve">- комплексная атака на Exchange Server</w:t>
      </w:r>
    </w:p>
    <w:p>
      <w:pPr>
        <w:pStyle w:val="FirstParagraph"/>
      </w:pPr>
      <w:r>
        <w:rPr>
          <w:b/>
          <w:bCs/>
        </w:rPr>
        <w:t xml:space="preserve">Ключевые результаты:</w:t>
      </w:r>
      <w:r>
        <w:t xml:space="preserve"> </w:t>
      </w:r>
      <w:r>
        <w:t xml:space="preserve">- Освоены методы обнаружения и анализа различных типов уязвимостей</w:t>
      </w:r>
      <w:r>
        <w:t xml:space="preserve"> </w:t>
      </w:r>
      <w:r>
        <w:t xml:space="preserve">- Приобретены навыки работы с системами мониторинга (ViPNet IDS NS, Security Onion)</w:t>
      </w:r>
      <w:r>
        <w:t xml:space="preserve"> </w:t>
      </w:r>
      <w:r>
        <w:t xml:space="preserve">- Отработаны методики устранения последствий компрометации</w:t>
      </w:r>
      <w:r>
        <w:t xml:space="preserve"> </w:t>
      </w:r>
      <w:r>
        <w:t xml:space="preserve">- Получен опыт восстановления систем после кибератак</w:t>
      </w:r>
    </w:p>
    <w:p>
      <w:pPr>
        <w:pStyle w:val="BodyText"/>
      </w:pPr>
      <w:r>
        <w:t xml:space="preserve">Отчет о выполненной работе (рис. 20) и заполненных инцидентов (рис. 21)</w:t>
      </w:r>
    </w:p>
    <w:p>
      <w:pPr>
        <w:pStyle w:val="CaptionedFigure"/>
      </w:pPr>
      <w:r>
        <w:drawing>
          <wp:inline>
            <wp:extent cx="5334000" cy="3173895"/>
            <wp:effectExtent b="0" l="0" r="0" t="0"/>
            <wp:docPr descr="Выполнение работы" title="" id="98" name="Picture"/>
            <a:graphic>
              <a:graphicData uri="http://schemas.openxmlformats.org/drawingml/2006/picture">
                <pic:pic>
                  <pic:nvPicPr>
                    <pic:cNvPr descr="image/03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3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Выполнение работы</w:t>
      </w:r>
    </w:p>
    <w:p>
      <w:pPr>
        <w:pStyle w:val="CaptionedFigure"/>
      </w:pPr>
      <w:r>
        <w:drawing>
          <wp:inline>
            <wp:extent cx="5334000" cy="3137892"/>
            <wp:effectExtent b="0" l="0" r="0" t="0"/>
            <wp:docPr descr="Заполнение инцидентов" title="" id="101" name="Picture"/>
            <a:graphic>
              <a:graphicData uri="http://schemas.openxmlformats.org/drawingml/2006/picture">
                <pic:pic>
                  <pic:nvPicPr>
                    <pic:cNvPr descr="image/03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Заполнение инцидентов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1" Target="media/rId61.png" /><Relationship Type="http://schemas.openxmlformats.org/officeDocument/2006/relationships/image" Id="rId34" Target="media/rId34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51" Target="media/rId51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28" Target="media/rId28.png" /><Relationship Type="http://schemas.openxmlformats.org/officeDocument/2006/relationships/image" Id="rId47" Target="media/rId47.png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40" Target="media/rId40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81" Target="media/rId81.png" /><Relationship Type="http://schemas.openxmlformats.org/officeDocument/2006/relationships/image" Id="rId91" Target="media/rId9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Боровиков Даниил; Хрусталев Влад; Гисматуллин Артём; Чесноков Артёмий; Коннова Татьяна; Нефедова Наталья; Уткина Алина; Бансимба Клодели</dc:creator>
  <dc:language>ru-RU</dc:language>
  <cp:keywords/>
  <dcterms:created xsi:type="dcterms:W3CDTF">2025-10-30T21:56:04Z</dcterms:created>
  <dcterms:modified xsi:type="dcterms:W3CDTF">2025-10-30T21:56:04Z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Кибербезопасность предприятия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