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97D" w:val="clear"/>
            <w:tcMar>
              <w:top w:type="dxa" w:w="400"/>
              <w:left w:type="dxa" w:w="600"/>
              <w:bottom w:type="dxa" w:w="400"/>
              <w:right w:type="dxa" w:w="600"/>
            </w:tcMar>
          </w:tcPr>
          <w:p>
            <w:pPr>
              <w:jc w:val="center"/>
            </w:pPr>
            <w:r>
              <w:rPr>
                <w:rFonts w:ascii="Arial" w:cs="Arial" w:eastAsia="Arial" w:hAnsi="Arial"/>
                <w:b/>
                <w:bCs/>
                <w:color w:val="FFFFFF"/>
                <w:sz w:val="52"/>
                <w:szCs w:val="52"/>
              </w:rPr>
              <w:t xml:space="preserve">PROTAC Designer</w:t>
            </w:r>
          </w:p>
          <w:p>
            <w:pPr>
              <w:spacing w:before="80"/>
              <w:jc w:val="center"/>
            </w:pPr>
            <w:r>
              <w:rPr>
                <w:rFonts w:ascii="Arial" w:cs="Arial" w:eastAsia="Arial" w:hAnsi="Arial"/>
                <w:i/>
                <w:iCs/>
                <w:color w:val="BDD7EE"/>
                <w:sz w:val="26"/>
                <w:szCs w:val="26"/>
              </w:rPr>
              <w:t xml:space="preserve">AI-Driven Modulator &amp; PROTAC Design Pipeline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E8F4FD"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Python 3.13</w:t>
            </w:r>
          </w:p>
        </w:tc>
        <w:tc>
          <w:tcPr>
            <w:tcBorders>
              <w:top w:val="none" w:color="FFFFFF" w:sz="0"/>
              <w:left w:val="none" w:color="FFFFFF" w:sz="0"/>
              <w:bottom w:val="none" w:color="FFFFFF" w:sz="0"/>
              <w:right w:val="none" w:color="FFFFFF" w:sz="0"/>
            </w:tcBorders>
            <w:shd w:fill="E8F4FD"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PyTorch 2.10</w:t>
            </w:r>
          </w:p>
        </w:tc>
        <w:tc>
          <w:tcPr>
            <w:tcBorders>
              <w:top w:val="none" w:color="FFFFFF" w:sz="0"/>
              <w:left w:val="none" w:color="FFFFFF" w:sz="0"/>
              <w:bottom w:val="none" w:color="FFFFFF" w:sz="0"/>
              <w:right w:val="none" w:color="FFFFFF" w:sz="0"/>
            </w:tcBorders>
            <w:shd w:fill="E8F4FD"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PyG 2.7</w:t>
            </w:r>
          </w:p>
        </w:tc>
        <w:tc>
          <w:tcPr>
            <w:tcBorders>
              <w:top w:val="none" w:color="FFFFFF" w:sz="0"/>
              <w:left w:val="none" w:color="FFFFFF" w:sz="0"/>
              <w:bottom w:val="none" w:color="FFFFFF" w:sz="0"/>
              <w:right w:val="none" w:color="FFFFFF" w:sz="0"/>
            </w:tcBorders>
            <w:shd w:fill="EAF7EA"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RDKit</w:t>
            </w:r>
          </w:p>
        </w:tc>
        <w:tc>
          <w:tcPr>
            <w:tcBorders>
              <w:top w:val="none" w:color="FFFFFF" w:sz="0"/>
              <w:left w:val="none" w:color="FFFFFF" w:sz="0"/>
              <w:bottom w:val="none" w:color="FFFFFF" w:sz="0"/>
              <w:right w:val="none" w:color="FFFFFF" w:sz="0"/>
            </w:tcBorders>
            <w:shd w:fill="FFF3E0"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ChEMBL</w:t>
            </w:r>
          </w:p>
        </w:tc>
        <w:tc>
          <w:tcPr>
            <w:tcBorders>
              <w:top w:val="none" w:color="FFFFFF" w:sz="0"/>
              <w:left w:val="none" w:color="FFFFFF" w:sz="0"/>
              <w:bottom w:val="none" w:color="FFFFFF" w:sz="0"/>
              <w:right w:val="none" w:color="FFFFFF" w:sz="0"/>
            </w:tcBorders>
            <w:shd w:fill="F3E5F5" w:val="clear"/>
            <w:tcMar>
              <w:top w:type="dxa" w:w="40"/>
              <w:left w:type="dxa" w:w="120"/>
              <w:bottom w:type="dxa" w:w="40"/>
              <w:right w:type="dxa" w:w="120"/>
            </w:tcMar>
          </w:tcPr>
          <w:p>
            <w:pPr>
              <w:jc w:val="center"/>
            </w:pPr>
            <w:r>
              <w:rPr>
                <w:rFonts w:ascii="Arial" w:cs="Arial" w:eastAsia="Arial" w:hAnsi="Arial"/>
                <w:b/>
                <w:bCs/>
                <w:color w:val="1F497D"/>
                <w:sz w:val="18"/>
                <w:szCs w:val="18"/>
              </w:rPr>
              <w:t xml:space="preserve">SQLAlchemy</w:t>
            </w:r>
          </w:p>
        </w:tc>
      </w:tr>
    </w:tbl>
    <w:p>
      <w:pPr>
        <w:spacing w:before="120" w:after="120"/>
      </w:pPr>
      <w:r>
        <w:t xml:space="preserve"/>
      </w:r>
    </w:p>
    <w:p>
      <w:pPr>
        <w:spacing w:before="80" w:after="80"/>
        <w:jc w:val="center"/>
      </w:pPr>
      <w:r>
        <w:rPr>
          <w:rFonts w:ascii="Arial" w:cs="Arial" w:eastAsia="Arial" w:hAnsi="Arial"/>
          <w:i/>
          <w:iCs/>
          <w:color w:val="666666"/>
          <w:sz w:val="22"/>
          <w:szCs w:val="22"/>
        </w:rPr>
        <w:t xml:space="preserve">A Python-based AI pipeline for predicting small molecule modulators and designing PROTACs targeting protein degradation</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Overview</w:t>
      </w:r>
    </w:p>
    <w:p>
      <w:pPr>
        <w:spacing w:before="80" w:after="80"/>
      </w:pPr>
      <w:r>
        <w:rPr>
          <w:rFonts w:ascii="Arial" w:cs="Arial" w:eastAsia="Arial" w:hAnsi="Arial"/>
          <w:color w:val="404040"/>
          <w:sz w:val="22"/>
          <w:szCs w:val="22"/>
        </w:rPr>
        <w:t xml:space="preserve">PROTAC Designer is an end-to-end computational drug discovery pipeline that predicts small molecule modulators and designs Proteolysis Targeting Chimeras (PROTACs) for target protein degradation. Unlike most tools that focus exclusively on inhibitors, this system explicitly handles modulators — including activators, degraders, and allosteric regulators — and provides automated linker suggestions for bifunctional PROTAC molecules.</w:t>
      </w:r>
    </w:p>
    <w:p>
      <w:pPr>
        <w:spacing w:before="120" w:after="120"/>
      </w:pPr>
      <w:r>
        <w:t xml:space="preserve"/>
      </w:r>
    </w:p>
    <w:p>
      <w:pPr>
        <w:spacing w:before="80" w:after="80"/>
      </w:pPr>
      <w:r>
        <w:rPr>
          <w:rFonts w:ascii="Arial" w:cs="Arial" w:eastAsia="Arial" w:hAnsi="Arial"/>
          <w:i w:val="false"/>
          <w:iCs w:val="false"/>
          <w:color w:val="404040"/>
          <w:sz w:val="22"/>
          <w:szCs w:val="22"/>
        </w:rPr>
        <w:t xml:space="preserve">The system combines protein structure data, curated bioactivity databases, and graph neural networks to score and rank candidate molecules. The architecture is designed to scale from local research use to a production webserver with job queuing and multi-target support.</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Problem &amp; Motivation</w:t>
      </w:r>
    </w:p>
    <w:p>
      <w:pPr>
        <w:pStyle w:val="ListParagraph"/>
        <w:numPr>
          <w:ilvl w:val="0"/>
          <w:numId w:val="2"/>
        </w:numPr>
        <w:spacing w:before="40" w:after="40"/>
      </w:pPr>
      <w:r>
        <w:rPr>
          <w:rFonts w:ascii="Arial" w:cs="Arial" w:eastAsia="Arial" w:hAnsi="Arial"/>
          <w:color w:val="404040"/>
          <w:sz w:val="22"/>
          <w:szCs w:val="22"/>
        </w:rPr>
        <w:t xml:space="preserve">Designing modulators requires deep expert knowledge and is mostly trial-and-error</w:t>
      </w:r>
    </w:p>
    <w:p>
      <w:pPr>
        <w:pStyle w:val="ListParagraph"/>
        <w:numPr>
          <w:ilvl w:val="0"/>
          <w:numId w:val="2"/>
        </w:numPr>
        <w:spacing w:before="40" w:after="40"/>
      </w:pPr>
      <w:r>
        <w:rPr>
          <w:rFonts w:ascii="Arial" w:cs="Arial" w:eastAsia="Arial" w:hAnsi="Arial"/>
          <w:color w:val="404040"/>
          <w:sz w:val="22"/>
          <w:szCs w:val="22"/>
        </w:rPr>
        <w:t xml:space="preserve">Existing tools overwhelmingly focus on inhibitors — activators and degraders are underserved</w:t>
      </w:r>
    </w:p>
    <w:p>
      <w:pPr>
        <w:pStyle w:val="ListParagraph"/>
        <w:numPr>
          <w:ilvl w:val="0"/>
          <w:numId w:val="2"/>
        </w:numPr>
        <w:spacing w:before="40" w:after="40"/>
      </w:pPr>
      <w:r>
        <w:rPr>
          <w:rFonts w:ascii="Arial" w:cs="Arial" w:eastAsia="Arial" w:hAnsi="Arial"/>
          <w:color w:val="404040"/>
          <w:sz w:val="22"/>
          <w:szCs w:val="22"/>
        </w:rPr>
        <w:t xml:space="preserve">PROTAC design involves three separate optimization problems: warhead, linker, and E3 binder</w:t>
      </w:r>
    </w:p>
    <w:p>
      <w:pPr>
        <w:pStyle w:val="ListParagraph"/>
        <w:numPr>
          <w:ilvl w:val="0"/>
          <w:numId w:val="2"/>
        </w:numPr>
        <w:spacing w:before="40" w:after="40"/>
      </w:pPr>
      <w:r>
        <w:rPr>
          <w:rFonts w:ascii="Arial" w:cs="Arial" w:eastAsia="Arial" w:hAnsi="Arial"/>
          <w:color w:val="404040"/>
          <w:sz w:val="22"/>
          <w:szCs w:val="22"/>
        </w:rPr>
        <w:t xml:space="preserve">No unified open-source pipeline integrates structure data, bioactivity data, and AI scoring</w:t>
      </w:r>
    </w:p>
    <w:p>
      <w:pPr>
        <w:spacing w:before="120" w:after="120"/>
      </w:pPr>
      <w:r>
        <w:t xml:space="preserve"/>
      </w:r>
    </w:p>
    <w:p>
      <w:pPr>
        <w:spacing w:before="80" w:after="80"/>
      </w:pPr>
      <w:r>
        <w:rPr>
          <w:rFonts w:ascii="Arial" w:cs="Arial" w:eastAsia="Arial" w:hAnsi="Arial"/>
          <w:color w:val="404040"/>
          <w:sz w:val="22"/>
          <w:szCs w:val="22"/>
        </w:rPr>
        <w:t xml:space="preserve">This project addresses all four gaps with a single, extensible codebase.</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Quick Start</w:t>
      </w:r>
    </w:p>
    <w:p>
      <w:pPr>
        <w:pStyle w:val="Heading3"/>
        <w:spacing w:before="200" w:after="80"/>
      </w:pPr>
      <w:r>
        <w:rPr>
          <w:rFonts w:ascii="Arial" w:cs="Arial" w:eastAsia="Arial" w:hAnsi="Arial"/>
          <w:b/>
          <w:bCs/>
          <w:color w:val="404040"/>
          <w:sz w:val="24"/>
          <w:szCs w:val="24"/>
        </w:rPr>
        <w:t xml:space="preserve">1. Install Dependencies</w:t>
      </w:r>
    </w:p>
    <w:p>
      <w:pPr>
        <w:shd w:fill="F5F5F5" w:val="clear"/>
        <w:spacing w:before="40" w:after="40"/>
        <w:ind w:left="360" w:right="360"/>
      </w:pPr>
      <w:r>
        <w:rPr>
          <w:rFonts w:ascii="Courier New" w:cs="Courier New" w:eastAsia="Courier New" w:hAnsi="Courier New"/>
          <w:color w:val="CC0000"/>
          <w:sz w:val="18"/>
          <w:szCs w:val="18"/>
        </w:rPr>
        <w:t xml:space="preserve">pip install rdkit chembl-webresource-client biopython sqlalchemy tqdm torch torch-geometric matplotlib scikit-learn</w:t>
      </w:r>
    </w:p>
    <w:p>
      <w:pPr>
        <w:pStyle w:val="Heading3"/>
        <w:spacing w:before="200" w:after="80"/>
      </w:pPr>
      <w:r>
        <w:rPr>
          <w:rFonts w:ascii="Arial" w:cs="Arial" w:eastAsia="Arial" w:hAnsi="Arial"/>
          <w:b/>
          <w:bCs/>
          <w:color w:val="404040"/>
          <w:sz w:val="24"/>
          <w:szCs w:val="24"/>
        </w:rPr>
        <w:t xml:space="preserve">2. Run Tests</w:t>
      </w:r>
    </w:p>
    <w:p>
      <w:pPr>
        <w:shd w:fill="F5F5F5" w:val="clear"/>
        <w:spacing w:before="40" w:after="40"/>
        <w:ind w:left="360" w:right="360"/>
      </w:pPr>
      <w:r>
        <w:rPr>
          <w:rFonts w:ascii="Courier New" w:cs="Courier New" w:eastAsia="Courier New" w:hAnsi="Courier New"/>
          <w:color w:val="CC0000"/>
          <w:sz w:val="18"/>
          <w:szCs w:val="18"/>
        </w:rPr>
        <w:t xml:space="preserve">cd ~/Module &amp;&amp; python tests/test_pipeline.py</w:t>
      </w:r>
    </w:p>
    <w:p>
      <w:pPr>
        <w:pStyle w:val="Heading3"/>
        <w:spacing w:before="200" w:after="80"/>
      </w:pPr>
      <w:r>
        <w:rPr>
          <w:rFonts w:ascii="Arial" w:cs="Arial" w:eastAsia="Arial" w:hAnsi="Arial"/>
          <w:b/>
          <w:bCs/>
          <w:color w:val="404040"/>
          <w:sz w:val="24"/>
          <w:szCs w:val="24"/>
        </w:rPr>
        <w:t xml:space="preserve">3. Populate Database for a Target</w:t>
      </w:r>
    </w:p>
    <w:p>
      <w:pPr>
        <w:shd w:fill="F5F5F5" w:val="clear"/>
        <w:spacing w:before="40" w:after="40"/>
        <w:ind w:left="360" w:right="360"/>
      </w:pPr>
      <w:r>
        <w:rPr>
          <w:rFonts w:ascii="Courier New" w:cs="Courier New" w:eastAsia="Courier New" w:hAnsi="Courier New"/>
          <w:color w:val="CC0000"/>
          <w:sz w:val="18"/>
          <w:szCs w:val="18"/>
        </w:rPr>
        <w:t xml:space="preserve">python run_pipeline.py --target P00533 --max-activities 500 --zinc-count 100</w:t>
      </w:r>
    </w:p>
    <w:p>
      <w:pPr>
        <w:pStyle w:val="Heading3"/>
        <w:spacing w:before="200" w:after="80"/>
      </w:pPr>
      <w:r>
        <w:rPr>
          <w:rFonts w:ascii="Arial" w:cs="Arial" w:eastAsia="Arial" w:hAnsi="Arial"/>
          <w:b/>
          <w:bCs/>
          <w:color w:val="404040"/>
          <w:sz w:val="24"/>
          <w:szCs w:val="24"/>
        </w:rPr>
        <w:t xml:space="preserve">4. Train the GNN</w:t>
      </w:r>
    </w:p>
    <w:p>
      <w:pPr>
        <w:shd w:fill="F5F5F5" w:val="clear"/>
        <w:spacing w:before="40" w:after="40"/>
        <w:ind w:left="360" w:right="360"/>
      </w:pPr>
      <w:r>
        <w:rPr>
          <w:rFonts w:ascii="Courier New" w:cs="Courier New" w:eastAsia="Courier New" w:hAnsi="Courier New"/>
          <w:color w:val="CC0000"/>
          <w:sz w:val="18"/>
          <w:szCs w:val="18"/>
        </w:rPr>
        <w:t xml:space="preserve">python models/train.py --epochs 100 --hidden-dim 128</w:t>
      </w:r>
    </w:p>
    <w:p>
      <w:pPr>
        <w:pStyle w:val="Heading3"/>
        <w:spacing w:before="200" w:after="80"/>
      </w:pPr>
      <w:r>
        <w:rPr>
          <w:rFonts w:ascii="Arial" w:cs="Arial" w:eastAsia="Arial" w:hAnsi="Arial"/>
          <w:b/>
          <w:bCs/>
          <w:color w:val="404040"/>
          <w:sz w:val="24"/>
          <w:szCs w:val="24"/>
        </w:rPr>
        <w:t xml:space="preserve">5. Check Results</w:t>
      </w:r>
    </w:p>
    <w:p>
      <w:pPr>
        <w:shd w:fill="F5F5F5" w:val="clear"/>
        <w:spacing w:before="40" w:after="40"/>
        <w:ind w:left="360" w:right="360"/>
      </w:pPr>
      <w:r>
        <w:rPr>
          <w:rFonts w:ascii="Courier New" w:cs="Courier New" w:eastAsia="Courier New" w:hAnsi="Courier New"/>
          <w:color w:val="CC0000"/>
          <w:sz w:val="18"/>
          <w:szCs w:val="18"/>
        </w:rPr>
        <w:t xml:space="preserve">cat models/outputs/metrics.json</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Module/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Project root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run_pipeline.py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 orchestrator — runs all 4 pipeline steps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requirements.txt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Python dependencies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protac_designer.db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SQLite database (auto-generated)</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 database/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schema.py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SQLAlchemy ORM: TargetProtein, Compound, Bioactivity, E3LigaseBinder</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 utils/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mol_utils.py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RDKit: standardization, properties, filters, fingerprints</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 data_pipeline/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chembl/fetcher.py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ChEMBL API: targets + bioactivity data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pdb/fetcher.py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RCSB PDB: structure download + binding site extraction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zinc/fetcher.py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ZINC20: purchasable compounds + E3 ligase warheads</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 models/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gnn.py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GCN/GAT graph neural network + fingerprint fusion model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featurizer.py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SMILES → PyG graph converter (9 atom features)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train.py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Training loop, evaluation, plotting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outputs/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Saved model weights, plots, metrics (auto-generated)</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b/>
                <w:bCs/>
                <w:color w:val="1F497D"/>
                <w:sz w:val="18"/>
                <w:szCs w:val="18"/>
              </w:rPr>
              <w:t xml:space="preserve">└── tests/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    └── test_pipeline.py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Unit tests for mol_utils and DB schema</w:t>
            </w:r>
          </w:p>
        </w:tc>
      </w:tr>
    </w:tbl>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Data Pipeline (Phase 1A)</w:t>
      </w:r>
    </w:p>
    <w:p>
      <w:pPr>
        <w:spacing w:before="80" w:after="80"/>
      </w:pPr>
      <w:r>
        <w:rPr>
          <w:rFonts w:ascii="Arial" w:cs="Arial" w:eastAsia="Arial" w:hAnsi="Arial"/>
          <w:color w:val="404040"/>
          <w:sz w:val="22"/>
          <w:szCs w:val="22"/>
        </w:rPr>
        <w:t xml:space="preserve">The pipeline runs four sequential steps for any given protein target, controlled entirely from the command line: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7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1F497D"/>
                <w:sz w:val="22"/>
                <w:szCs w:val="22"/>
              </w:rPr>
              <w:t xml:space="preserve">1</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ChEMBL Fetch</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Search target by UniProt ID, pull IC50/Ki/Kd/EC50 records, filter by pChEMBL ≥ 5 and confidence ≥ 6, label modulator type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F497D"/>
                <w:sz w:val="22"/>
                <w:szCs w:val="22"/>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PDB Structures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Search RCSB by UniProt, rank by resolution + ligand presence, download PDB files, extract binding site residues within 6Å</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1F497D"/>
                <w:sz w:val="22"/>
                <w:szCs w:val="22"/>
              </w:rPr>
              <w:t xml:space="preserve">3</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ZINC Compounds</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Fetch purchasable drug-like compounds via tranche system (MW 200-500, logP -1 to 5, in-stock availability)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F497D"/>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E3 Ligase Binders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Load curated CRBN/VHL/MDM2/IAP warheads (thalidomide, lenalidomide, pomalidomide, VHL ligands, SMAC mimetics)</w:t>
            </w:r>
          </w:p>
        </w:tc>
      </w:tr>
    </w:tbl>
    <w:p>
      <w:pPr>
        <w:spacing w:before="120" w:after="120"/>
      </w:pPr>
      <w:r>
        <w:t xml:space="preserve"/>
      </w:r>
    </w:p>
    <w:p>
      <w:pPr>
        <w:pStyle w:val="Heading3"/>
        <w:spacing w:before="200" w:after="80"/>
      </w:pPr>
      <w:r>
        <w:rPr>
          <w:rFonts w:ascii="Arial" w:cs="Arial" w:eastAsia="Arial" w:hAnsi="Arial"/>
          <w:b/>
          <w:bCs/>
          <w:color w:val="404040"/>
          <w:sz w:val="24"/>
          <w:szCs w:val="24"/>
        </w:rPr>
        <w:t xml:space="preserve">CLI Reference</w:t>
      </w:r>
    </w:p>
    <w:p>
      <w:pPr>
        <w:shd w:fill="F5F5F5" w:val="clear"/>
        <w:spacing w:before="40" w:after="40"/>
        <w:ind w:left="360" w:right="360"/>
      </w:pPr>
      <w:r>
        <w:rPr>
          <w:rFonts w:ascii="Courier New" w:cs="Courier New" w:eastAsia="Courier New" w:hAnsi="Courier New"/>
          <w:color w:val="CC0000"/>
          <w:sz w:val="18"/>
          <w:szCs w:val="18"/>
        </w:rPr>
        <w:t xml:space="preserve">python run_pipeline.py --target P00533              # fetch EGFR by UniProt ID</w:t>
      </w:r>
    </w:p>
    <w:p>
      <w:pPr>
        <w:shd w:fill="F5F5F5" w:val="clear"/>
        <w:spacing w:before="40" w:after="40"/>
        <w:ind w:left="360" w:right="360"/>
      </w:pPr>
      <w:r>
        <w:rPr>
          <w:rFonts w:ascii="Courier New" w:cs="Courier New" w:eastAsia="Courier New" w:hAnsi="Courier New"/>
          <w:color w:val="CC0000"/>
          <w:sz w:val="18"/>
          <w:szCs w:val="18"/>
        </w:rPr>
        <w:t xml:space="preserve">python run_pipeline.py --target BRD4 --max-activities 5000</w:t>
      </w:r>
    </w:p>
    <w:p>
      <w:pPr>
        <w:shd w:fill="F5F5F5" w:val="clear"/>
        <w:spacing w:before="40" w:after="40"/>
        <w:ind w:left="360" w:right="360"/>
      </w:pPr>
      <w:r>
        <w:rPr>
          <w:rFonts w:ascii="Courier New" w:cs="Courier New" w:eastAsia="Courier New" w:hAnsi="Courier New"/>
          <w:color w:val="CC0000"/>
          <w:sz w:val="18"/>
          <w:szCs w:val="18"/>
        </w:rPr>
        <w:t xml:space="preserve">python run_pipeline.py --target KRAS --no-zinc      # skip ZINC fetch</w:t>
      </w:r>
    </w:p>
    <w:p>
      <w:pPr>
        <w:shd w:fill="F5F5F5" w:val="clear"/>
        <w:spacing w:before="40" w:after="40"/>
        <w:ind w:left="360" w:right="360"/>
      </w:pPr>
      <w:r>
        <w:rPr>
          <w:rFonts w:ascii="Courier New" w:cs="Courier New" w:eastAsia="Courier New" w:hAnsi="Courier New"/>
          <w:color w:val="CC0000"/>
          <w:sz w:val="18"/>
          <w:szCs w:val="18"/>
        </w:rPr>
        <w:t xml:space="preserve">python run_pipeline.py --target VHL --zinc-count 2000</w:t>
      </w:r>
    </w:p>
    <w:p>
      <w:pPr>
        <w:spacing w:before="120" w:after="120"/>
      </w:pPr>
      <w:r>
        <w:t xml:space="preserve"/>
      </w:r>
    </w:p>
    <w:p>
      <w:pPr>
        <w:pStyle w:val="Heading3"/>
        <w:spacing w:before="200" w:after="80"/>
      </w:pPr>
      <w:r>
        <w:rPr>
          <w:rFonts w:ascii="Arial" w:cs="Arial" w:eastAsia="Arial" w:hAnsi="Arial"/>
          <w:b/>
          <w:bCs/>
          <w:color w:val="404040"/>
          <w:sz w:val="24"/>
          <w:szCs w:val="24"/>
        </w:rPr>
        <w:t xml:space="preserve">Database Schema</w:t>
      </w:r>
    </w:p>
    <w:p>
      <w:pPr>
        <w:spacing w:before="80" w:after="80"/>
      </w:pPr>
      <w:r>
        <w:rPr>
          <w:rFonts w:ascii="Arial" w:cs="Arial" w:eastAsia="Arial" w:hAnsi="Arial"/>
          <w:color w:val="404040"/>
          <w:sz w:val="22"/>
          <w:szCs w:val="22"/>
        </w:rPr>
        <w:t xml:space="preserve">All data is stored in a local SQLite file (protac_designer.db), using SQLAlchemy ORM. The schema is designed to be swapped to PostgreSQL for production by changing a single connection string.</w:t>
      </w:r>
    </w:p>
    <w:p>
      <w:pPr>
        <w:pStyle w:val="ListParagraph"/>
        <w:numPr>
          <w:ilvl w:val="0"/>
          <w:numId w:val="2"/>
        </w:numPr>
        <w:spacing w:before="40" w:after="40"/>
      </w:pPr>
      <w:r>
        <w:rPr>
          <w:rFonts w:ascii="Arial" w:cs="Arial" w:eastAsia="Arial" w:hAnsi="Arial"/>
          <w:color w:val="404040"/>
          <w:sz w:val="22"/>
          <w:szCs w:val="22"/>
        </w:rPr>
        <w:t xml:space="preserve">TargetProtein — UniProt ID, gene name, PDB ID, binding site residues (JSON)</w:t>
      </w:r>
    </w:p>
    <w:p>
      <w:pPr>
        <w:pStyle w:val="ListParagraph"/>
        <w:numPr>
          <w:ilvl w:val="0"/>
          <w:numId w:val="2"/>
        </w:numPr>
        <w:spacing w:before="40" w:after="40"/>
      </w:pPr>
      <w:r>
        <w:rPr>
          <w:rFonts w:ascii="Arial" w:cs="Arial" w:eastAsia="Arial" w:hAnsi="Arial"/>
          <w:color w:val="404040"/>
          <w:sz w:val="22"/>
          <w:szCs w:val="22"/>
        </w:rPr>
        <w:t xml:space="preserve">PDBStructure — PDB code, resolution, method, co-crystallized ligand, local file path</w:t>
      </w:r>
    </w:p>
    <w:p>
      <w:pPr>
        <w:pStyle w:val="ListParagraph"/>
        <w:numPr>
          <w:ilvl w:val="0"/>
          <w:numId w:val="2"/>
        </w:numPr>
        <w:spacing w:before="40" w:after="40"/>
      </w:pPr>
      <w:r>
        <w:rPr>
          <w:rFonts w:ascii="Arial" w:cs="Arial" w:eastAsia="Arial" w:hAnsi="Arial"/>
          <w:color w:val="404040"/>
          <w:sz w:val="22"/>
          <w:szCs w:val="22"/>
        </w:rPr>
        <w:t xml:space="preserve">Compound — SMILES, InChIKey (dedup key), all physicochemical properties, PAINS flag</w:t>
      </w:r>
    </w:p>
    <w:p>
      <w:pPr>
        <w:pStyle w:val="ListParagraph"/>
        <w:numPr>
          <w:ilvl w:val="0"/>
          <w:numId w:val="2"/>
        </w:numPr>
        <w:spacing w:before="40" w:after="40"/>
      </w:pPr>
      <w:r>
        <w:rPr>
          <w:rFonts w:ascii="Arial" w:cs="Arial" w:eastAsia="Arial" w:hAnsi="Arial"/>
          <w:color w:val="404040"/>
          <w:sz w:val="22"/>
          <w:szCs w:val="22"/>
        </w:rPr>
        <w:t xml:space="preserve">Bioactivity — pChEMBL value, activity type, assay context, inferred modulator type</w:t>
      </w:r>
    </w:p>
    <w:p>
      <w:pPr>
        <w:pStyle w:val="ListParagraph"/>
        <w:numPr>
          <w:ilvl w:val="0"/>
          <w:numId w:val="2"/>
        </w:numPr>
        <w:spacing w:before="40" w:after="40"/>
      </w:pPr>
      <w:r>
        <w:rPr>
          <w:rFonts w:ascii="Arial" w:cs="Arial" w:eastAsia="Arial" w:hAnsi="Arial"/>
          <w:color w:val="404040"/>
          <w:sz w:val="22"/>
          <w:szCs w:val="22"/>
        </w:rPr>
        <w:t xml:space="preserve">E3LigaseBinder — warhead SMILES, E3 ligase target, binding affinity, attachment point</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GNN Model (Phase 1B)</w:t>
      </w:r>
    </w:p>
    <w:p>
      <w:pPr>
        <w:spacing w:before="80" w:after="80"/>
      </w:pPr>
      <w:r>
        <w:rPr>
          <w:rFonts w:ascii="Arial" w:cs="Arial" w:eastAsia="Arial" w:hAnsi="Arial"/>
          <w:color w:val="404040"/>
          <w:sz w:val="22"/>
          <w:szCs w:val="22"/>
        </w:rPr>
        <w:t xml:space="preserve">The AffinityPredictor model takes a molecular graph and Morgan fingerprint as input and regresses to a predicted pChEMBL value. The dual-input architecture (graph + fingerprint) is specifically chosen to compensate for small dataset sizes common in early-stage drug discovery.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Input</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Molecular graph: atoms as nodes (9 features), bonds as edges (4 features)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Node Features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Atom type, atomic number, degree, formal charge, H count, aromaticity, ring membership, hybridization, chirality</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GNN Layers</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3× GCNConv (or GATConv) with BatchNorm + ReLU + Dropout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Pooling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Global mean + global max pooling, concatenated → fixed-size graph embedding</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Fingerprint Path</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Morgan fingerprint (2048-bit, radius=2) encoded through 2-layer MLP → 256-dim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Fusion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GNN embedding + fingerprint embedding concatenated → final MLP regressor</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Output</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Predicted pChEMBL value (−log₁₀ of IC50/Ki in molar units)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Loss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MSE with gradient clipping (max norm=1.0), Adam optimizer, LR decay on plateau</w:t>
            </w:r>
          </w:p>
        </w:tc>
      </w:tr>
    </w:tbl>
    <w:p>
      <w:pPr>
        <w:spacing w:before="120" w:after="120"/>
      </w:pPr>
      <w:r>
        <w:t xml:space="preserve"/>
      </w:r>
    </w:p>
    <w:p>
      <w:pPr>
        <w:pStyle w:val="Heading3"/>
        <w:spacing w:before="200" w:after="80"/>
      </w:pPr>
      <w:r>
        <w:rPr>
          <w:rFonts w:ascii="Arial" w:cs="Arial" w:eastAsia="Arial" w:hAnsi="Arial"/>
          <w:b/>
          <w:bCs/>
          <w:color w:val="404040"/>
          <w:sz w:val="24"/>
          <w:szCs w:val="24"/>
        </w:rPr>
        <w:t xml:space="preserve">Training</w:t>
      </w:r>
    </w:p>
    <w:p>
      <w:pPr>
        <w:shd w:fill="F5F5F5" w:val="clear"/>
        <w:spacing w:before="40" w:after="40"/>
        <w:ind w:left="360" w:right="360"/>
      </w:pPr>
      <w:r>
        <w:rPr>
          <w:rFonts w:ascii="Courier New" w:cs="Courier New" w:eastAsia="Courier New" w:hAnsi="Courier New"/>
          <w:color w:val="CC0000"/>
          <w:sz w:val="18"/>
          <w:szCs w:val="18"/>
        </w:rPr>
        <w:t xml:space="preserve">python models/train.py                              # default: 100 epochs, hidden=128</w:t>
      </w:r>
    </w:p>
    <w:p>
      <w:pPr>
        <w:shd w:fill="F5F5F5" w:val="clear"/>
        <w:spacing w:before="40" w:after="40"/>
        <w:ind w:left="360" w:right="360"/>
      </w:pPr>
      <w:r>
        <w:rPr>
          <w:rFonts w:ascii="Courier New" w:cs="Courier New" w:eastAsia="Courier New" w:hAnsi="Courier New"/>
          <w:color w:val="CC0000"/>
          <w:sz w:val="18"/>
          <w:szCs w:val="18"/>
        </w:rPr>
        <w:t xml:space="preserve">python models/train.py --epochs 200 --hidden-dim 256</w:t>
      </w:r>
    </w:p>
    <w:p>
      <w:pPr>
        <w:shd w:fill="F5F5F5" w:val="clear"/>
        <w:spacing w:before="40" w:after="40"/>
        <w:ind w:left="360" w:right="360"/>
      </w:pPr>
      <w:r>
        <w:rPr>
          <w:rFonts w:ascii="Courier New" w:cs="Courier New" w:eastAsia="Courier New" w:hAnsi="Courier New"/>
          <w:color w:val="CC0000"/>
          <w:sz w:val="18"/>
          <w:szCs w:val="18"/>
        </w:rPr>
        <w:t xml:space="preserve">python models/train.py --use-gat                   # switch GCN -&gt; GAT</w:t>
      </w:r>
    </w:p>
    <w:p>
      <w:pPr>
        <w:shd w:fill="F5F5F5" w:val="clear"/>
        <w:spacing w:before="40" w:after="40"/>
        <w:ind w:left="360" w:right="360"/>
      </w:pPr>
      <w:r>
        <w:rPr>
          <w:rFonts w:ascii="Courier New" w:cs="Courier New" w:eastAsia="Courier New" w:hAnsi="Courier New"/>
          <w:color w:val="CC0000"/>
          <w:sz w:val="18"/>
          <w:szCs w:val="18"/>
        </w:rPr>
        <w:t xml:space="preserve">python models/train.py --dropout 0.3 --lr 5e-4</w:t>
      </w:r>
    </w:p>
    <w:p>
      <w:pPr>
        <w:spacing w:before="120" w:after="120"/>
      </w:pPr>
      <w:r>
        <w:t xml:space="preserve"/>
      </w:r>
    </w:p>
    <w:p>
      <w:pPr>
        <w:pStyle w:val="Heading3"/>
        <w:spacing w:before="200" w:after="80"/>
      </w:pPr>
      <w:r>
        <w:rPr>
          <w:rFonts w:ascii="Arial" w:cs="Arial" w:eastAsia="Arial" w:hAnsi="Arial"/>
          <w:b/>
          <w:bCs/>
          <w:color w:val="404040"/>
          <w:sz w:val="24"/>
          <w:szCs w:val="24"/>
        </w:rPr>
        <w:t xml:space="preserve">Outputs</w:t>
      </w:r>
    </w:p>
    <w:p>
      <w:pPr>
        <w:pStyle w:val="ListParagraph"/>
        <w:numPr>
          <w:ilvl w:val="0"/>
          <w:numId w:val="2"/>
        </w:numPr>
        <w:spacing w:before="40" w:after="40"/>
      </w:pPr>
      <w:r>
        <w:rPr>
          <w:rFonts w:ascii="Arial" w:cs="Arial" w:eastAsia="Arial" w:hAnsi="Arial"/>
          <w:color w:val="404040"/>
          <w:sz w:val="22"/>
          <w:szCs w:val="22"/>
        </w:rPr>
        <w:t xml:space="preserve">models/outputs/best_model.pt — best checkpoint by validation RMSE</w:t>
      </w:r>
    </w:p>
    <w:p>
      <w:pPr>
        <w:pStyle w:val="ListParagraph"/>
        <w:numPr>
          <w:ilvl w:val="0"/>
          <w:numId w:val="2"/>
        </w:numPr>
        <w:spacing w:before="40" w:after="40"/>
      </w:pPr>
      <w:r>
        <w:rPr>
          <w:rFonts w:ascii="Arial" w:cs="Arial" w:eastAsia="Arial" w:hAnsi="Arial"/>
          <w:color w:val="404040"/>
          <w:sz w:val="22"/>
          <w:szCs w:val="22"/>
        </w:rPr>
        <w:t xml:space="preserve">models/outputs/parity_plot.png — predicted vs actual pChEMBL scatter plot</w:t>
      </w:r>
    </w:p>
    <w:p>
      <w:pPr>
        <w:pStyle w:val="ListParagraph"/>
        <w:numPr>
          <w:ilvl w:val="0"/>
          <w:numId w:val="2"/>
        </w:numPr>
        <w:spacing w:before="40" w:after="40"/>
      </w:pPr>
      <w:r>
        <w:rPr>
          <w:rFonts w:ascii="Arial" w:cs="Arial" w:eastAsia="Arial" w:hAnsi="Arial"/>
          <w:color w:val="404040"/>
          <w:sz w:val="22"/>
          <w:szCs w:val="22"/>
        </w:rPr>
        <w:t xml:space="preserve">models/outputs/training_curves.png — loss + R² over epochs</w:t>
      </w:r>
    </w:p>
    <w:p>
      <w:pPr>
        <w:pStyle w:val="ListParagraph"/>
        <w:numPr>
          <w:ilvl w:val="0"/>
          <w:numId w:val="2"/>
        </w:numPr>
        <w:spacing w:before="40" w:after="40"/>
      </w:pPr>
      <w:r>
        <w:rPr>
          <w:rFonts w:ascii="Arial" w:cs="Arial" w:eastAsia="Arial" w:hAnsi="Arial"/>
          <w:color w:val="404040"/>
          <w:sz w:val="22"/>
          <w:szCs w:val="22"/>
        </w:rPr>
        <w:t xml:space="preserve">models/outputs/metrics.json — test RMSE, MAE, R², dataset sizes</w:t>
      </w:r>
    </w:p>
    <w:p>
      <w:pPr>
        <w:spacing w:before="120" w:after="120"/>
      </w:pPr>
      <w:r>
        <w:t xml:space="preserve"/>
      </w:r>
    </w:p>
    <w:p>
      <w:pPr>
        <w:pStyle w:val="Heading3"/>
        <w:spacing w:before="200" w:after="80"/>
      </w:pPr>
      <w:r>
        <w:rPr>
          <w:rFonts w:ascii="Arial" w:cs="Arial" w:eastAsia="Arial" w:hAnsi="Arial"/>
          <w:b/>
          <w:bCs/>
          <w:color w:val="404040"/>
          <w:sz w:val="24"/>
          <w:szCs w:val="24"/>
        </w:rPr>
        <w:t xml:space="preserve">Interpreting Results</w:t>
      </w:r>
    </w:p>
    <w:p>
      <w:pPr>
        <w:pStyle w:val="ListParagraph"/>
        <w:numPr>
          <w:ilvl w:val="0"/>
          <w:numId w:val="2"/>
        </w:numPr>
        <w:spacing w:before="40" w:after="40"/>
      </w:pPr>
      <w:r>
        <w:rPr>
          <w:rFonts w:ascii="Arial" w:cs="Arial" w:eastAsia="Arial" w:hAnsi="Arial"/>
          <w:color w:val="404040"/>
          <w:sz w:val="22"/>
          <w:szCs w:val="22"/>
        </w:rPr>
        <w:t xml:space="preserve">RMSE &lt; 1.0, R² &gt; 0.4 — acceptable for 300-500 molecule dataset</w:t>
      </w:r>
    </w:p>
    <w:p>
      <w:pPr>
        <w:pStyle w:val="ListParagraph"/>
        <w:numPr>
          <w:ilvl w:val="0"/>
          <w:numId w:val="2"/>
        </w:numPr>
        <w:spacing w:before="40" w:after="40"/>
      </w:pPr>
      <w:r>
        <w:rPr>
          <w:rFonts w:ascii="Arial" w:cs="Arial" w:eastAsia="Arial" w:hAnsi="Arial"/>
          <w:color w:val="404040"/>
          <w:sz w:val="22"/>
          <w:szCs w:val="22"/>
        </w:rPr>
        <w:t xml:space="preserve">RMSE &lt; 0.7, R² &gt; 0.6 — good; ready for candidate screening</w:t>
      </w:r>
    </w:p>
    <w:p>
      <w:pPr>
        <w:pStyle w:val="ListParagraph"/>
        <w:numPr>
          <w:ilvl w:val="0"/>
          <w:numId w:val="2"/>
        </w:numPr>
        <w:spacing w:before="40" w:after="40"/>
      </w:pPr>
      <w:r>
        <w:rPr>
          <w:rFonts w:ascii="Arial" w:cs="Arial" w:eastAsia="Arial" w:hAnsi="Arial"/>
          <w:color w:val="404040"/>
          <w:sz w:val="22"/>
          <w:szCs w:val="22"/>
        </w:rPr>
        <w:t xml:space="preserve">RMSE &gt; 1.2 — consider fetching more data or tuning hyperparameters</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Molecule Processing (mol_utils.py)</w:t>
      </w:r>
    </w:p>
    <w:p>
      <w:pPr>
        <w:spacing w:before="80" w:after="80"/>
      </w:pPr>
      <w:r>
        <w:rPr>
          <w:rFonts w:ascii="Arial" w:cs="Arial" w:eastAsia="Arial" w:hAnsi="Arial"/>
          <w:color w:val="404040"/>
          <w:sz w:val="22"/>
          <w:szCs w:val="22"/>
        </w:rPr>
        <w:t xml:space="preserve">Every compound passes through the mol_utils pipeline before entering the database or the model. This ensures consistency across all data sources.</w:t>
      </w:r>
    </w:p>
    <w:p>
      <w:pPr>
        <w:pStyle w:val="ListParagraph"/>
        <w:numPr>
          <w:ilvl w:val="0"/>
          <w:numId w:val="2"/>
        </w:numPr>
        <w:spacing w:before="40" w:after="40"/>
      </w:pPr>
      <w:r>
        <w:rPr>
          <w:rFonts w:ascii="Arial" w:cs="Arial" w:eastAsia="Arial" w:hAnsi="Arial"/>
          <w:color w:val="404040"/>
          <w:sz w:val="22"/>
          <w:szCs w:val="22"/>
        </w:rPr>
        <w:t xml:space="preserve">Standardization — RDKit canonical SMILES, removes salts and fragments</w:t>
      </w:r>
    </w:p>
    <w:p>
      <w:pPr>
        <w:pStyle w:val="ListParagraph"/>
        <w:numPr>
          <w:ilvl w:val="0"/>
          <w:numId w:val="2"/>
        </w:numPr>
        <w:spacing w:before="40" w:after="40"/>
      </w:pPr>
      <w:r>
        <w:rPr>
          <w:rFonts w:ascii="Arial" w:cs="Arial" w:eastAsia="Arial" w:hAnsi="Arial"/>
          <w:color w:val="404040"/>
          <w:sz w:val="22"/>
          <w:szCs w:val="22"/>
        </w:rPr>
        <w:t xml:space="preserve">InChIKey generation — used as the global deduplication key across ChEMBL, ZINC, and manual entries</w:t>
      </w:r>
    </w:p>
    <w:p>
      <w:pPr>
        <w:pStyle w:val="ListParagraph"/>
        <w:numPr>
          <w:ilvl w:val="0"/>
          <w:numId w:val="2"/>
        </w:numPr>
        <w:spacing w:before="40" w:after="40"/>
      </w:pPr>
      <w:r>
        <w:rPr>
          <w:rFonts w:ascii="Arial" w:cs="Arial" w:eastAsia="Arial" w:hAnsi="Arial"/>
          <w:color w:val="404040"/>
          <w:sz w:val="22"/>
          <w:szCs w:val="22"/>
        </w:rPr>
        <w:t xml:space="preserve">Physicochemical properties — MW, logP, HBD, HBA, TPSA, rotatable bonds, aromatic rings, stereocenters</w:t>
      </w:r>
    </w:p>
    <w:p>
      <w:pPr>
        <w:pStyle w:val="ListParagraph"/>
        <w:numPr>
          <w:ilvl w:val="0"/>
          <w:numId w:val="2"/>
        </w:numPr>
        <w:spacing w:before="40" w:after="40"/>
      </w:pPr>
      <w:r>
        <w:rPr>
          <w:rFonts w:ascii="Arial" w:cs="Arial" w:eastAsia="Arial" w:hAnsi="Arial"/>
          <w:color w:val="404040"/>
          <w:sz w:val="22"/>
          <w:szCs w:val="22"/>
        </w:rPr>
        <w:t xml:space="preserve">Lipinski Rule of Five — flagged (not filtered) since PROTACs intentionally violate it</w:t>
      </w:r>
    </w:p>
    <w:p>
      <w:pPr>
        <w:pStyle w:val="ListParagraph"/>
        <w:numPr>
          <w:ilvl w:val="0"/>
          <w:numId w:val="2"/>
        </w:numPr>
        <w:spacing w:before="40" w:after="40"/>
      </w:pPr>
      <w:r>
        <w:rPr>
          <w:rFonts w:ascii="Arial" w:cs="Arial" w:eastAsia="Arial" w:hAnsi="Arial"/>
          <w:color w:val="404040"/>
          <w:sz w:val="22"/>
          <w:szCs w:val="22"/>
        </w:rPr>
        <w:t xml:space="preserve">Veber rules — rotatable bonds ≤ 10 and TPSA ≤ 140 for oral bioavailability</w:t>
      </w:r>
    </w:p>
    <w:p>
      <w:pPr>
        <w:pStyle w:val="ListParagraph"/>
        <w:numPr>
          <w:ilvl w:val="0"/>
          <w:numId w:val="2"/>
        </w:numPr>
        <w:spacing w:before="40" w:after="40"/>
      </w:pPr>
      <w:r>
        <w:rPr>
          <w:rFonts w:ascii="Arial" w:cs="Arial" w:eastAsia="Arial" w:hAnsi="Arial"/>
          <w:color w:val="404040"/>
          <w:sz w:val="22"/>
          <w:szCs w:val="22"/>
        </w:rPr>
        <w:t xml:space="preserve">PAINS filter — Pan-Assay Interference Compounds flagged using RDKit FilterCatalog</w:t>
      </w:r>
    </w:p>
    <w:p>
      <w:pPr>
        <w:pStyle w:val="ListParagraph"/>
        <w:numPr>
          <w:ilvl w:val="0"/>
          <w:numId w:val="2"/>
        </w:numPr>
        <w:spacing w:before="40" w:after="40"/>
      </w:pPr>
      <w:r>
        <w:rPr>
          <w:rFonts w:ascii="Arial" w:cs="Arial" w:eastAsia="Arial" w:hAnsi="Arial"/>
          <w:color w:val="404040"/>
          <w:sz w:val="22"/>
          <w:szCs w:val="22"/>
        </w:rPr>
        <w:t xml:space="preserve">Morgan fingerprints — 2048-bit, radius=2, used as GNN input and for Tanimoto similarity</w:t>
      </w:r>
    </w:p>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Common Target UniProt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UniProt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UniProt</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EGFR</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P00533</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BRD4</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O60885</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KRAS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20"/>
                <w:szCs w:val="20"/>
              </w:rPr>
              <w:t xml:space="preserve">P01116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BCL2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20"/>
                <w:szCs w:val="20"/>
              </w:rPr>
              <w:t xml:space="preserve">P10415</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VHL</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P40337</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MDM2</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Q00987</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CRBN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20"/>
                <w:szCs w:val="20"/>
              </w:rPr>
              <w:t xml:space="preserve">Q96SW2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CDK6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20"/>
                <w:szCs w:val="20"/>
              </w:rPr>
              <w:t xml:space="preserve">Q00534</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BTK</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Q06187</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PCAF</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CC0000"/>
                <w:sz w:val="20"/>
                <w:szCs w:val="20"/>
              </w:rPr>
              <w:t xml:space="preserve">Q92831</w:t>
            </w:r>
          </w:p>
        </w:tc>
      </w:tr>
    </w:tbl>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1680"/>
        <w:gridCol w:w="62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Phase 1A</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Data Pipeline</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ChEMBL, PDB, ZINC ingestion + RDKit processing + SQLite DB</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Phase 1B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GNN Model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Graph neural network trained on bioactivity data</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Phase 2</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FastAPI Server</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REST API wrapping the prediction engine + job queue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PROTAC Linker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Variational autoencoder / diffusion model for linker generation</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Phase 4</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20"/>
                <w:szCs w:val="20"/>
              </w:rPr>
              <w:t xml:space="preserve">Scoring &amp; Ranking</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ADMET, synthetic accessibility, novelty scoring + composite ranking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20"/>
                <w:szCs w:val="20"/>
              </w:rPr>
              <w:t xml:space="preserve">Web Frontend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React UI for target submission, results visualization, export</w:t>
            </w:r>
          </w:p>
        </w:tc>
      </w:tr>
    </w:tbl>
    <w:p>
      <w:pPr>
        <w:pBdr>
          <w:bottom w:val="single" w:color="DDDDDD" w:sz="2" w:space="1"/>
        </w:pBdr>
        <w:spacing w:before="160" w:after="160"/>
      </w:pPr>
      <w:r>
        <w:t xml:space="preserve"/>
      </w:r>
    </w:p>
    <w:p>
      <w:pPr>
        <w:pStyle w:val="Heading1"/>
        <w:spacing w:before="360" w:after="120"/>
      </w:pPr>
      <w:r>
        <w:rPr>
          <w:rFonts w:ascii="Arial" w:cs="Arial" w:eastAsia="Arial" w:hAnsi="Arial"/>
          <w:b/>
          <w:bCs/>
          <w:color w:val="1F497D"/>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Chemistry</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333333"/>
                <w:sz w:val="18"/>
                <w:szCs w:val="18"/>
              </w:rPr>
              <w:t xml:space="preserve">RDKit 2025.9</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Molecule standardization, properties, fingerprints, PAINS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ML Framework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PyTorch 2.10 + PyG 2.7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GNN training, graph convolution, GPU acceleration</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Data Sources</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333333"/>
                <w:sz w:val="18"/>
                <w:szCs w:val="18"/>
              </w:rPr>
              <w:t xml:space="preserve">ChEMBL, PDB, ZINC20</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Bioactivity, structures, purchasable compounds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SQLAlchemy + SQLite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ORM layer, swappable to PostgreSQL for production</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Structure</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333333"/>
                <w:sz w:val="18"/>
                <w:szCs w:val="18"/>
              </w:rPr>
              <w:t xml:space="preserve">BioPython</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PDB parsing, binding site residue extraction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97D"/>
                <w:sz w:val="20"/>
                <w:szCs w:val="20"/>
              </w:rPr>
              <w:t xml:space="preserve">Backend (next)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FastAPI + Redis/Celery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Async job queue, REST API, result storage</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97D"/>
                <w:sz w:val="20"/>
                <w:szCs w:val="20"/>
              </w:rPr>
              <w:t xml:space="preserve">Frontend (next)</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color w:val="333333"/>
                <w:sz w:val="18"/>
                <w:szCs w:val="18"/>
              </w:rPr>
              <w:t xml:space="preserve">React + Next.js</w:t>
            </w:r>
          </w:p>
        </w:tc>
        <w:tc>
          <w:tcPr>
            <w:tcBorders>
              <w:top w:val="single" w:color="CCCCCC" w:sz="1"/>
              <w:left w:val="single" w:color="CCCCCC" w:sz="1"/>
              <w:bottom w:val="single" w:color="CCCCCC" w:sz="1"/>
              <w:right w:val="single" w:color="CCCCCC" w:sz="1"/>
            </w:tcBorders>
            <w:shd w:fill="F9FBFD" w:val="clear"/>
            <w:tcMar>
              <w:top w:type="dxa" w:w="60"/>
              <w:left w:type="dxa" w:w="120"/>
              <w:bottom w:type="dxa" w:w="60"/>
              <w:right w:type="dxa" w:w="120"/>
            </w:tcMar>
          </w:tcPr>
          <w:p>
            <w:r>
              <w:rPr>
                <w:rFonts w:ascii="Arial" w:cs="Arial" w:eastAsia="Arial" w:hAnsi="Arial"/>
                <w:color w:val="404040"/>
                <w:sz w:val="20"/>
                <w:szCs w:val="20"/>
              </w:rPr>
              <w:t xml:space="preserve">Target submission, results table, molecule viewer</w:t>
            </w:r>
          </w:p>
        </w:tc>
      </w:tr>
    </w:tbl>
    <w:p>
      <w:pPr>
        <w:pBdr>
          <w:bottom w:val="single" w:color="DDDDDD" w:sz="2" w:space="1"/>
        </w:pBdr>
        <w:spacing w:before="160" w:after="160"/>
      </w:pPr>
      <w:r>
        <w:t xml:space="preserve"/>
      </w:r>
    </w:p>
    <w:p>
      <w:pPr>
        <w:spacing w:before="120" w:after="120"/>
      </w:pPr>
      <w:r>
        <w:t xml:space="preserve"/>
      </w:r>
    </w:p>
    <w:p>
      <w:pPr>
        <w:pBdr>
          <w:top w:val="single" w:color="DDDDDD" w:sz="2" w:space="4"/>
        </w:pBdr>
        <w:spacing w:before="160" w:after="80"/>
        <w:jc w:val="center"/>
      </w:pPr>
      <w:r>
        <w:rPr>
          <w:rFonts w:ascii="Arial" w:cs="Arial" w:eastAsia="Arial" w:hAnsi="Arial"/>
          <w:i/>
          <w:iCs/>
          <w:color w:val="888888"/>
          <w:sz w:val="18"/>
          <w:szCs w:val="18"/>
        </w:rPr>
        <w:t xml:space="preserve">PROTAC Designer — AI-Driven Modulator &amp; Targeted Degradation Pipeline</w:t>
      </w:r>
    </w:p>
    <w:p>
      <w:pPr>
        <w:jc w:val="center"/>
      </w:pPr>
      <w:r>
        <w:rPr>
          <w:rFonts w:ascii="Arial" w:cs="Arial" w:eastAsia="Arial" w:hAnsi="Arial"/>
          <w:color w:val="AAAAAA"/>
          <w:sz w:val="18"/>
          <w:szCs w:val="18"/>
        </w:rPr>
        <w:t xml:space="preserve">Built with RDKit · PyTorch Geometric · ChEMBL · RCSB PDB · ZINC20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2026-03-03T09:06:24.510Z</dcterms:created>
  <dcterms:modified xsi:type="dcterms:W3CDTF">2026-03-03T09:06:24.511Z</dcterms:modified>
</cp:coreProperties>
</file>

<file path=docProps/custom.xml><?xml version="1.0" encoding="utf-8"?>
<Properties xmlns="http://schemas.openxmlformats.org/officeDocument/2006/custom-properties" xmlns:vt="http://schemas.openxmlformats.org/officeDocument/2006/docPropsVTypes"/>
</file>