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color w:val="1A3A5C"/>
          <w:sz w:val="44"/>
        </w:rPr>
        <w:t>Конспект встречи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5A5A5A"/>
          <w:sz w:val="24"/>
        </w:rPr>
        <w:t>Блиц · КС · ЭПД</w:t>
      </w:r>
    </w:p>
    <w:p>
      <w:pPr>
        <w:spacing w:after="280"/>
        <w:jc w:val="center"/>
      </w:pPr>
      <w:r>
        <w:rPr>
          <w:rFonts w:ascii="Calibri" w:hAnsi="Calibri" w:eastAsia="Calibri"/>
          <w:b w:val="0"/>
          <w:color w:val="5A5A5A"/>
          <w:sz w:val="20"/>
        </w:rPr>
        <w:t>Статус работы по сервисам и задачи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trHeight w:val="60" w:hRule="exact"/>
        </w:trPr>
        <w:tc>
          <w:tcPr>
            <w:tcW w:type="dxa" w:w="9746"/>
            <w:shd w:fill="1A3A5C"/>
          </w:tcPr>
          <w:p/>
        </w:tc>
      </w:tr>
    </w:tbl>
    <w:p>
      <w:pPr>
        <w:spacing w:after="80"/>
      </w:pPr>
    </w:p>
    <w:p>
      <w:pPr>
        <w:spacing w:before="360" w:after="160"/>
      </w:pPr>
      <w:r>
        <w:rPr>
          <w:rFonts w:ascii="Calibri" w:hAnsi="Calibri" w:eastAsia="Calibri"/>
          <w:b/>
          <w:color w:val="1A3A5C"/>
          <w:sz w:val="32"/>
        </w:rPr>
        <w:t>1. Работа с сервисами</w:t>
      </w:r>
    </w:p>
    <w:p>
      <w:pPr>
        <w:spacing w:before="240" w:after="160"/>
      </w:pPr>
      <w:r>
        <w:rPr>
          <w:rFonts w:ascii="Calibri" w:hAnsi="Calibri" w:eastAsia="Calibri"/>
          <w:b/>
          <w:color w:val="1A3A5C"/>
          <w:sz w:val="26"/>
        </w:rPr>
        <w:t>Блиц</w:t>
      </w:r>
    </w:p>
    <w:p>
      <w:pPr>
        <w:pStyle w:val="ListBullet"/>
        <w:spacing w:before="40" w:after="60" w:line="276" w:lineRule="auto"/>
      </w:pPr>
      <w:r>
        <w:rPr>
          <w:rFonts w:ascii="Calibri" w:hAnsi="Calibri" w:eastAsia="Calibri"/>
          <w:b w:val="0"/>
          <w:color w:val="2C2C2C"/>
          <w:sz w:val="22"/>
        </w:rPr>
        <w:t>Расписанные гипотезы отправлены.</w:t>
      </w:r>
    </w:p>
    <w:p>
      <w:pPr>
        <w:pStyle w:val="ListBullet"/>
        <w:spacing w:before="40" w:after="60" w:line="276" w:lineRule="auto"/>
      </w:pPr>
      <w:r>
        <w:rPr>
          <w:rFonts w:ascii="Calibri" w:hAnsi="Calibri" w:eastAsia="Calibri"/>
          <w:b w:val="0"/>
          <w:color w:val="2C2C2C"/>
          <w:sz w:val="22"/>
        </w:rPr>
        <w:t>Встречу в календарь на понедельник закину в четверг, допишу повестку собрания.</w:t>
      </w:r>
    </w:p>
    <w:p>
      <w:pPr>
        <w:pStyle w:val="ListBullet"/>
        <w:spacing w:before="40" w:after="60" w:line="276" w:lineRule="auto"/>
      </w:pPr>
      <w:r>
        <w:rPr>
          <w:rFonts w:ascii="Calibri" w:hAnsi="Calibri" w:eastAsia="Calibri"/>
          <w:b w:val="0"/>
          <w:color w:val="2C2C2C"/>
          <w:sz w:val="22"/>
        </w:rPr>
        <w:t>Миша прорабатывает список / таблицу, которую обсудили — таблица сделана.</w:t>
      </w:r>
    </w:p>
    <w:p>
      <w:pPr>
        <w:spacing w:before="40" w:after="80"/>
      </w:pPr>
      <w:r>
        <w:rPr>
          <w:rFonts w:ascii="Calibri" w:hAnsi="Calibri" w:eastAsia="Calibri"/>
          <w:b/>
          <w:color w:val="1A3A5C"/>
          <w:sz w:val="22"/>
        </w:rPr>
        <w:t xml:space="preserve">Итог: </w:t>
      </w:r>
      <w:r>
        <w:rPr>
          <w:rFonts w:ascii="Calibri" w:hAnsi="Calibri" w:eastAsia="Calibri"/>
          <w:b w:val="0"/>
          <w:color w:val="2C2C2C"/>
          <w:sz w:val="22"/>
        </w:rPr>
        <w:t>6 записей, 5 демо.</w:t>
      </w:r>
    </w:p>
    <w:p>
      <w:pPr>
        <w:spacing w:before="240" w:after="160"/>
      </w:pPr>
      <w:r>
        <w:rPr>
          <w:rFonts w:ascii="Calibri" w:hAnsi="Calibri" w:eastAsia="Calibri"/>
          <w:b/>
          <w:color w:val="1A3A5C"/>
          <w:sz w:val="26"/>
        </w:rPr>
        <w:t>КС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3A5C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Сотрудник</w:t>
            </w:r>
          </w:p>
        </w:tc>
        <w:tc>
          <w:tcPr>
            <w:tcW w:type="dxa" w:w="2436"/>
            <w:shd w:fill="1A3A5C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Записи</w:t>
            </w:r>
          </w:p>
        </w:tc>
        <w:tc>
          <w:tcPr>
            <w:tcW w:type="dxa" w:w="2436"/>
            <w:shd w:fill="1A3A5C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Демо</w:t>
            </w:r>
          </w:p>
        </w:tc>
        <w:tc>
          <w:tcPr>
            <w:tcW w:type="dxa" w:w="2436"/>
            <w:shd w:fill="1A3A5C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Дополнительно</w:t>
            </w:r>
          </w:p>
        </w:tc>
      </w:tr>
      <w:tr>
        <w:tc>
          <w:tcPr>
            <w:tcW w:type="dxa" w:w="2436"/>
            <w:shd w:fill="F5F8FB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C2C2C"/>
                <w:sz w:val="20"/>
              </w:rPr>
              <w:t>Соня</w:t>
            </w:r>
          </w:p>
        </w:tc>
        <w:tc>
          <w:tcPr>
            <w:tcW w:type="dxa" w:w="2436"/>
            <w:shd w:fill="F5F8FB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C2C2C"/>
                <w:sz w:val="20"/>
              </w:rPr>
              <w:t>3</w:t>
            </w:r>
          </w:p>
        </w:tc>
        <w:tc>
          <w:tcPr>
            <w:tcW w:type="dxa" w:w="2436"/>
            <w:shd w:fill="F5F8FB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C2C2C"/>
                <w:sz w:val="20"/>
              </w:rPr>
              <w:t>3</w:t>
            </w:r>
          </w:p>
        </w:tc>
        <w:tc>
          <w:tcPr>
            <w:tcW w:type="dxa" w:w="2436"/>
            <w:shd w:fill="F5F8FB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2C2C2C"/>
                <w:sz w:val="20"/>
              </w:rPr>
              <w:t>1 счёт на 25 кабинетов</w:t>
            </w:r>
          </w:p>
        </w:tc>
      </w:tr>
      <w:tr>
        <w:tc>
          <w:tcPr>
            <w:tcW w:type="dxa" w:w="2436"/>
            <w:shd w:fill="FFFFFF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C2C2C"/>
                <w:sz w:val="20"/>
              </w:rPr>
              <w:t>Данил</w:t>
            </w:r>
          </w:p>
        </w:tc>
        <w:tc>
          <w:tcPr>
            <w:tcW w:type="dxa" w:w="2436"/>
            <w:shd w:fill="FFFFFF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C2C2C"/>
                <w:sz w:val="20"/>
              </w:rPr>
              <w:t>3</w:t>
            </w:r>
          </w:p>
        </w:tc>
        <w:tc>
          <w:tcPr>
            <w:tcW w:type="dxa" w:w="2436"/>
            <w:shd w:fill="FFFFFF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C2C2C"/>
                <w:sz w:val="20"/>
              </w:rPr>
              <w:t>1</w:t>
            </w:r>
          </w:p>
        </w:tc>
        <w:tc>
          <w:tcPr>
            <w:tcW w:type="dxa" w:w="2436"/>
            <w:shd w:fill="FFFFFF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2C2C2C"/>
                <w:sz w:val="20"/>
              </w:rPr>
              <w:t>2 пилота</w:t>
            </w:r>
          </w:p>
        </w:tc>
      </w:tr>
    </w:tbl>
    <w:p>
      <w:pPr>
        <w:spacing w:before="200" w:after="0"/>
      </w:pPr>
    </w:p>
    <w:p>
      <w:pPr>
        <w:spacing w:before="240" w:after="160"/>
      </w:pPr>
      <w:r>
        <w:rPr>
          <w:rFonts w:ascii="Calibri" w:hAnsi="Calibri" w:eastAsia="Calibri"/>
          <w:b/>
          <w:color w:val="1A3A5C"/>
          <w:sz w:val="26"/>
        </w:rPr>
        <w:t>ЭПД</w:t>
      </w:r>
    </w:p>
    <w:p>
      <w:pPr>
        <w:pStyle w:val="ListBullet"/>
        <w:spacing w:before="40" w:after="60" w:line="276" w:lineRule="auto"/>
      </w:pPr>
      <w:r>
        <w:rPr>
          <w:rFonts w:ascii="Calibri" w:hAnsi="Calibri" w:eastAsia="Calibri"/>
          <w:b w:val="0"/>
          <w:color w:val="2C2C2C"/>
          <w:sz w:val="22"/>
        </w:rPr>
        <w:t>1 продажа, 1 счёт.</w:t>
      </w:r>
    </w:p>
    <w:p>
      <w:pPr>
        <w:pStyle w:val="ListBullet"/>
        <w:spacing w:before="40" w:after="60" w:line="276" w:lineRule="auto"/>
      </w:pPr>
      <w:r>
        <w:rPr>
          <w:rFonts w:ascii="Calibri" w:hAnsi="Calibri" w:eastAsia="Calibri"/>
          <w:b w:val="0"/>
          <w:color w:val="2C2C2C"/>
          <w:sz w:val="22"/>
        </w:rPr>
        <w:t>Прорабатываются базы купивших клиентов.</w:t>
      </w:r>
    </w:p>
    <w:p>
      <w:pPr>
        <w:pStyle w:val="ListBullet"/>
        <w:spacing w:before="40" w:after="60" w:line="276" w:lineRule="auto"/>
      </w:pPr>
      <w:r>
        <w:rPr>
          <w:rFonts w:ascii="Calibri" w:hAnsi="Calibri" w:eastAsia="Calibri"/>
          <w:b w:val="0"/>
          <w:color w:val="2C2C2C"/>
          <w:sz w:val="22"/>
        </w:rPr>
        <w:t>Активная работа над пересборкой РК.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5EF"/>
            <w:tcBorders>
              <w:top w:val="single" w:sz="4" w:space="0" w:color="1B6B4A"/>
              <w:left w:val="single" w:sz="4" w:space="0" w:color="1B6B4A"/>
              <w:bottom w:val="single" w:sz="4" w:space="0" w:color="1B6B4A"/>
              <w:right w:val="single" w:sz="4" w:space="0" w:color="1B6B4A"/>
            </w:tcBorders>
          </w:tcPr>
          <w:p>
            <w:pPr>
              <w:spacing w:before="120" w:after="40"/>
            </w:pPr>
            <w:r>
              <w:rPr>
                <w:rFonts w:ascii="Calibri" w:hAnsi="Calibri" w:eastAsia="Calibri"/>
                <w:b/>
                <w:color w:val="1B6B4A"/>
                <w:sz w:val="22"/>
              </w:rPr>
              <w:t>Доки и показатель сервиса 1С-ЭПД</w:t>
            </w:r>
          </w:p>
          <w:p>
            <w:pPr>
              <w:spacing w:before="0" w:after="120"/>
            </w:pPr>
            <w:r>
              <w:rPr>
                <w:rFonts w:ascii="Calibri" w:hAnsi="Calibri" w:eastAsia="Calibri"/>
                <w:b w:val="0"/>
                <w:color w:val="2C2C2C"/>
                <w:sz w:val="20"/>
              </w:rPr>
              <w:t>Вопрос: считаются ли доки в показатель сервиса 1С-ЭПД?</w:t>
              <w:br/>
              <w:t>Наша позиция: да, считаем.</w:t>
            </w:r>
          </w:p>
        </w:tc>
      </w:tr>
    </w:tbl>
    <w:p>
      <w:pPr>
        <w:spacing w:before="160" w:after="0"/>
      </w:pPr>
    </w:p>
    <w:p>
      <w:pPr>
        <w:pStyle w:val="ListBullet"/>
        <w:spacing w:before="40" w:after="60" w:line="276" w:lineRule="auto"/>
      </w:pPr>
      <w:r>
        <w:rPr>
          <w:rFonts w:ascii="Calibri" w:hAnsi="Calibri" w:eastAsia="Calibri"/>
          <w:b w:val="0"/>
          <w:color w:val="2C2C2C"/>
          <w:sz w:val="22"/>
        </w:rPr>
        <w:t>Сыграть на трудностях «отваливаются операторы» — актуальность иметь 2 разные технологии выросла.</w:t>
      </w:r>
    </w:p>
    <w:p>
      <w:pPr>
        <w:pStyle w:val="ListBullet"/>
        <w:spacing w:before="40" w:after="60" w:line="276" w:lineRule="auto"/>
      </w:pPr>
      <w:r>
        <w:rPr>
          <w:rFonts w:ascii="Calibri" w:hAnsi="Calibri" w:eastAsia="Calibri"/>
          <w:b w:val="0"/>
          <w:color w:val="2C2C2C"/>
          <w:sz w:val="22"/>
        </w:rPr>
        <w:t>Смартвей — с клиентом свяжутся 27.10 (клиент в отпуске).</w:t>
      </w:r>
    </w:p>
    <w:p>
      <w:pPr>
        <w:spacing w:before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60" w:hRule="exact"/>
        </w:trPr>
        <w:tc>
          <w:tcPr>
            <w:tcW w:type="dxa" w:w="9746"/>
            <w:shd w:fill="1A3A5C"/>
          </w:tcPr>
          <w:p/>
        </w:tc>
      </w:tr>
    </w:tbl>
    <w:p>
      <w:pPr>
        <w:spacing w:before="360" w:after="160"/>
      </w:pPr>
      <w:r>
        <w:rPr>
          <w:rFonts w:ascii="Calibri" w:hAnsi="Calibri" w:eastAsia="Calibri"/>
          <w:b/>
          <w:color w:val="1A3A5C"/>
          <w:sz w:val="32"/>
        </w:rPr>
        <w:t>2. Задачи по работе с проектами</w:t>
      </w:r>
    </w:p>
    <w:p>
      <w:pPr>
        <w:spacing w:before="240" w:after="160"/>
      </w:pPr>
      <w:r>
        <w:rPr>
          <w:rFonts w:ascii="Calibri" w:hAnsi="Calibri" w:eastAsia="Calibri"/>
          <w:b/>
          <w:color w:val="1A3A5C"/>
          <w:sz w:val="26"/>
        </w:rPr>
        <w:t>Блиц</w:t>
      </w:r>
    </w:p>
    <w:p>
      <w:pPr>
        <w:pStyle w:val="ListBullet"/>
        <w:spacing w:before="40" w:after="60" w:line="276" w:lineRule="auto"/>
      </w:pPr>
      <w:r>
        <w:rPr>
          <w:rFonts w:ascii="Calibri" w:hAnsi="Calibri" w:eastAsia="Calibri"/>
          <w:b w:val="0"/>
          <w:color w:val="2C2C2C"/>
          <w:sz w:val="22"/>
        </w:rPr>
        <w:t>Попросить Мишу прикреплять скриншоты переписок в лиды.</w:t>
      </w:r>
    </w:p>
    <w:p>
      <w:pPr>
        <w:pStyle w:val="ListBullet"/>
        <w:spacing w:before="40" w:after="60" w:line="276" w:lineRule="auto"/>
      </w:pPr>
      <w:r>
        <w:rPr>
          <w:rFonts w:ascii="Calibri" w:hAnsi="Calibri" w:eastAsia="Calibri"/>
          <w:b w:val="0"/>
          <w:color w:val="2C2C2C"/>
          <w:sz w:val="22"/>
        </w:rPr>
        <w:t>Встречи по блицу: что помогает, а что мешает? Цель — посмотреть, что работает и что не работает, где усиливаемся.</w:t>
      </w:r>
    </w:p>
    <w:p>
      <w:pPr>
        <w:pStyle w:val="ListBullet"/>
        <w:spacing w:before="40" w:after="60" w:line="276" w:lineRule="auto"/>
      </w:pPr>
      <w:r>
        <w:rPr>
          <w:rFonts w:ascii="Calibri" w:hAnsi="Calibri" w:eastAsia="Calibri"/>
          <w:b w:val="0"/>
          <w:color w:val="2C2C2C"/>
          <w:sz w:val="22"/>
        </w:rPr>
        <w:t>Новые целевые аудитории — на встрече в понедельник.</w:t>
      </w:r>
    </w:p>
    <w:p>
      <w:pPr>
        <w:pStyle w:val="ListBullet"/>
        <w:spacing w:before="40" w:after="60" w:line="276" w:lineRule="auto"/>
      </w:pPr>
      <w:r>
        <w:rPr>
          <w:rFonts w:ascii="Calibri" w:hAnsi="Calibri" w:eastAsia="Calibri"/>
          <w:b w:val="0"/>
          <w:color w:val="2C2C2C"/>
          <w:sz w:val="22"/>
        </w:rPr>
        <w:t>Выделить в протоколе по отраслям успешность работы с отраслями.</w:t>
      </w:r>
    </w:p>
    <w:p>
      <w:pPr>
        <w:spacing w:before="240" w:after="160"/>
      </w:pPr>
      <w:r>
        <w:rPr>
          <w:rFonts w:ascii="Calibri" w:hAnsi="Calibri" w:eastAsia="Calibri"/>
          <w:b/>
          <w:color w:val="1A3A5C"/>
          <w:sz w:val="26"/>
        </w:rPr>
        <w:t>КС</w:t>
      </w:r>
    </w:p>
    <w:p>
      <w:pPr>
        <w:pStyle w:val="ListBullet"/>
        <w:spacing w:before="40" w:after="60" w:line="276" w:lineRule="auto"/>
      </w:pPr>
      <w:r>
        <w:rPr>
          <w:rFonts w:ascii="Calibri" w:hAnsi="Calibri" w:eastAsia="Calibri"/>
          <w:b w:val="0"/>
          <w:color w:val="2C2C2C"/>
          <w:sz w:val="22"/>
        </w:rPr>
        <w:t>Завтра: планерка по ЭПД; стратсессию переставить на попозже.</w:t>
      </w:r>
    </w:p>
    <w:p>
      <w:pPr>
        <w:pStyle w:val="ListBullet"/>
        <w:spacing w:before="40" w:after="60" w:line="276" w:lineRule="auto"/>
      </w:pPr>
      <w:r>
        <w:rPr>
          <w:rFonts w:ascii="Calibri" w:hAnsi="Calibri" w:eastAsia="Calibri"/>
          <w:b w:val="0"/>
          <w:color w:val="2C2C2C"/>
          <w:sz w:val="22"/>
        </w:rPr>
        <w:t>В протокол внести руководительский блок про переезд и время проведения планерки.</w:t>
      </w:r>
    </w:p>
    <w:p>
      <w:pPr>
        <w:pStyle w:val="ListBullet"/>
        <w:spacing w:before="40" w:after="60" w:line="276" w:lineRule="auto"/>
      </w:pPr>
      <w:r>
        <w:rPr>
          <w:rFonts w:ascii="Calibri" w:hAnsi="Calibri" w:eastAsia="Calibri"/>
          <w:b w:val="0"/>
          <w:color w:val="2C2C2C"/>
          <w:sz w:val="22"/>
        </w:rPr>
        <w:t>Собрать по кабинету сотрудника.</w:t>
      </w:r>
    </w:p>
    <w:p>
      <w:pPr>
        <w:spacing w:before="48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— конец конспекта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