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24000" cy="5308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us_logo_wo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530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color w:val="666666"/>
                <w:sz w:val="16"/>
              </w:rPr>
              <w:t>Группа компаний «Форус»</w:t>
            </w:r>
          </w:p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666666"/>
                <w:sz w:val="16"/>
              </w:rPr>
              <w:t>+7 (3952) 78-00-00  ·  www.forus.ru</w:t>
            </w:r>
          </w:p>
        </w:tc>
      </w:tr>
    </w:tbl>
    <w:p>
      <w:pPr>
        <w:spacing w:after="200"/>
        <w:pBdr>
          <w:bottom w:val="single" w:sz="24" w:space="1" w:color="F0C14A"/>
        </w:pBdr>
      </w:pPr>
    </w:p>
    <w:p>
      <w:pPr>
        <w:spacing w:after="40" w:before="0"/>
        <w:jc w:val="center"/>
      </w:pPr>
      <w:r>
        <w:rPr>
          <w:rFonts w:ascii="Arial" w:hAnsi="Arial" w:eastAsia="Arial"/>
          <w:b/>
          <w:color w:val="2B2B2B"/>
          <w:sz w:val="40"/>
        </w:rPr>
        <w:t>1С:Кабинет сотрудника</w:t>
      </w:r>
    </w:p>
    <w:p>
      <w:pPr>
        <w:spacing w:after="80" w:before="0"/>
        <w:jc w:val="center"/>
      </w:pPr>
      <w:r>
        <w:rPr>
          <w:rFonts w:ascii="Arial" w:hAnsi="Arial" w:eastAsia="Arial"/>
          <w:b w:val="0"/>
          <w:color w:val="666666"/>
          <w:sz w:val="22"/>
        </w:rPr>
        <w:t>Коммерческое предложение  ·  750 личных кабинетов</w:t>
      </w:r>
    </w:p>
    <w:p>
      <w:pPr>
        <w:spacing w:after="200" w:before="0"/>
        <w:jc w:val="center"/>
      </w:pPr>
      <w:r>
        <w:rPr>
          <w:rFonts w:ascii="Arial" w:hAnsi="Arial" w:eastAsia="Arial"/>
          <w:b/>
          <w:color w:val="9A7A10"/>
          <w:sz w:val="20"/>
        </w:rPr>
        <w:t>Самое простое внедрение  ·  без отдельной платформы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F0C14A"/>
          <w:left w:val="single" w:sz="12" w:space="0" w:color="F0C14A"/>
          <w:bottom w:val="single" w:sz="12" w:space="0" w:color="F0C14A"/>
          <w:right w:val="single" w:sz="12" w:space="0" w:color="F0C14A"/>
          <w:insideH w:val="single" w:sz="12" w:space="0" w:color="F0C14A"/>
          <w:insideV w:val="single" w:sz="12" w:space="0" w:color="F0C14A"/>
        </w:tblBorders>
      </w:tblPr>
      <w:tblGrid>
        <w:gridCol w:w="10318"/>
      </w:tblGrid>
      <w:tr>
        <w:tc>
          <w:tcPr>
            <w:tcW w:type="dxa" w:w="10318"/>
            <w:shd w:fill="FFF6D8" w:val="clear"/>
          </w:tcPr>
          <w:p>
            <w:r>
              <w:rPr>
                <w:rFonts w:ascii="Arial" w:hAnsi="Arial" w:eastAsia="Arial"/>
                <w:b/>
                <w:color w:val="2B2B2B"/>
                <w:sz w:val="22"/>
              </w:rPr>
              <w:t>Выгода, которую сразу видно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Вы платите только за личные кабинеты. Настройка и поддержка на старте — в подарок. Сервис уже внутри 1С: не нужно покупать и внедрять отдельную кадровую систему.</w:t>
            </w:r>
          </w:p>
        </w:tc>
      </w:tr>
    </w:tbl>
    <w:p>
      <w:pPr>
        <w:spacing w:after="160"/>
      </w:pPr>
    </w:p>
    <w:p>
      <w:pPr>
        <w:spacing w:after="40" w:before="0"/>
        <w:pBdr>
          <w:bottom w:val="single" w:sz="20" w:space="2" w:color="F0C14A"/>
        </w:pBdr>
      </w:pPr>
      <w:r>
        <w:rPr>
          <w:rFonts w:ascii="Arial" w:hAnsi="Arial" w:eastAsia="Arial"/>
          <w:b/>
          <w:color w:val="2B2B2B"/>
          <w:sz w:val="26"/>
        </w:rPr>
        <w:t>Что меняется в работе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FE08A"/>
          <w:left w:val="single" w:sz="6" w:space="0" w:color="FFE08A"/>
          <w:bottom w:val="single" w:sz="6" w:space="0" w:color="FFE08A"/>
          <w:right w:val="single" w:sz="6" w:space="0" w:color="FFE08A"/>
          <w:insideH w:val="single" w:sz="6" w:space="0" w:color="FFE08A"/>
          <w:insideV w:val="single" w:sz="6" w:space="0" w:color="FFE08A"/>
        </w:tblBorders>
      </w:tblPr>
      <w:tblGrid>
        <w:gridCol w:w="10318"/>
      </w:tblGrid>
      <w:tr>
        <w:tc>
          <w:tcPr>
            <w:tcW w:type="dxa" w:w="10318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Расчётные листки и справки — в телефоне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Сотрудник сам открывает документы в личном кабинете. Меньше очередей у кадровика.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FE08A"/>
          <w:left w:val="single" w:sz="6" w:space="0" w:color="FFE08A"/>
          <w:bottom w:val="single" w:sz="6" w:space="0" w:color="FFE08A"/>
          <w:right w:val="single" w:sz="6" w:space="0" w:color="FFE08A"/>
          <w:insideH w:val="single" w:sz="6" w:space="0" w:color="FFE08A"/>
          <w:insideV w:val="single" w:sz="6" w:space="0" w:color="FFE08A"/>
        </w:tblBorders>
      </w:tblPr>
      <w:tblGrid>
        <w:gridCol w:w="10318"/>
      </w:tblGrid>
      <w:tr>
        <w:tc>
          <w:tcPr>
            <w:tcW w:type="dxa" w:w="10318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Заявления и согласования online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Отпуск, отгул, командировка: сотрудник подал — руководитель утвердил с телефона — данные в 1С.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FE08A"/>
          <w:left w:val="single" w:sz="6" w:space="0" w:color="FFE08A"/>
          <w:bottom w:val="single" w:sz="6" w:space="0" w:color="FFE08A"/>
          <w:right w:val="single" w:sz="6" w:space="0" w:color="FFE08A"/>
          <w:insideH w:val="single" w:sz="6" w:space="0" w:color="FFE08A"/>
          <w:insideV w:val="single" w:sz="6" w:space="0" w:color="FFE08A"/>
        </w:tblBorders>
      </w:tblPr>
      <w:tblGrid>
        <w:gridCol w:w="10318"/>
      </w:tblGrid>
      <w:tr>
        <w:tc>
          <w:tcPr>
            <w:tcW w:type="dxa" w:w="10318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Удалённый приём без визита в офис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Трудовой договор и ознакомление с правилами подписываются дистанционно.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FE08A"/>
          <w:left w:val="single" w:sz="6" w:space="0" w:color="FFE08A"/>
          <w:bottom w:val="single" w:sz="6" w:space="0" w:color="FFE08A"/>
          <w:right w:val="single" w:sz="6" w:space="0" w:color="FFE08A"/>
          <w:insideH w:val="single" w:sz="6" w:space="0" w:color="FFE08A"/>
          <w:insideV w:val="single" w:sz="6" w:space="0" w:color="FFE08A"/>
        </w:tblBorders>
      </w:tblPr>
      <w:tblGrid>
        <w:gridCol w:w="10318"/>
      </w:tblGrid>
      <w:tr>
        <w:tc>
          <w:tcPr>
            <w:tcW w:type="dxa" w:w="10318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Документы без бумаги и мессенджеров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Ознакомление в один клик, подтверждение получения, обмен внутри системы — по закону о персональных данных.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FE08A"/>
          <w:left w:val="single" w:sz="6" w:space="0" w:color="FFE08A"/>
          <w:bottom w:val="single" w:sz="6" w:space="0" w:color="FFE08A"/>
          <w:right w:val="single" w:sz="6" w:space="0" w:color="FFE08A"/>
          <w:insideH w:val="single" w:sz="6" w:space="0" w:color="FFE08A"/>
          <w:insideV w:val="single" w:sz="6" w:space="0" w:color="FFE08A"/>
        </w:tblBorders>
      </w:tblPr>
      <w:tblGrid>
        <w:gridCol w:w="10318"/>
      </w:tblGrid>
      <w:tr>
        <w:tc>
          <w:tcPr>
            <w:tcW w:type="dxa" w:w="10318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Кадровик остаётся в привычной 1С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Заявления автоматически становятся приказами. Меньше ручного ввода и ошибок.</w:t>
            </w:r>
          </w:p>
        </w:tc>
      </w:tr>
    </w:tbl>
    <w:p>
      <w:pPr>
        <w:spacing w:after="80"/>
      </w:pPr>
    </w:p>
    <w:p>
      <w:pPr>
        <w:spacing w:after="40" w:before="0"/>
        <w:pBdr>
          <w:bottom w:val="single" w:sz="20" w:space="2" w:color="F0C14A"/>
        </w:pBdr>
      </w:pPr>
      <w:r>
        <w:rPr>
          <w:rFonts w:ascii="Arial" w:hAnsi="Arial" w:eastAsia="Arial"/>
          <w:b/>
          <w:color w:val="2B2B2B"/>
          <w:sz w:val="26"/>
        </w:rPr>
        <w:t>Цена пакета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4" w:space="0" w:color="F0C14A"/>
          <w:left w:val="single" w:sz="14" w:space="0" w:color="F0C14A"/>
          <w:bottom w:val="single" w:sz="14" w:space="0" w:color="F0C14A"/>
          <w:right w:val="single" w:sz="14" w:space="0" w:color="F0C14A"/>
          <w:insideH w:val="single" w:sz="14" w:space="0" w:color="F0C14A"/>
          <w:insideV w:val="single" w:sz="14" w:space="0" w:color="F0C14A"/>
        </w:tblBorders>
      </w:tblPr>
      <w:tblGrid>
        <w:gridCol w:w="10318"/>
      </w:tblGrid>
      <w:tr>
        <w:tc>
          <w:tcPr>
            <w:tcW w:type="dxa" w:w="10318"/>
            <w:shd w:fill="F0C14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44"/>
              </w:rPr>
              <w:t>223 200 ₽</w:t>
            </w:r>
          </w:p>
        </w:tc>
      </w:tr>
      <w:tr>
        <w:tc>
          <w:tcPr>
            <w:tcW w:type="dxa" w:w="10318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66666"/>
                <w:sz w:val="20"/>
              </w:rPr>
              <w:t>за 750 кабинетов на 12 месяцев  ·  ≈ 25 ₽ в месяц за сотрудника</w:t>
            </w:r>
          </w:p>
        </w:tc>
      </w:tr>
      <w:tr>
        <w:tc>
          <w:tcPr>
            <w:tcW w:type="dxa" w:w="10318"/>
            <w:shd w:fill="FFF6D8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В подарок 5 часов поддержки (выгода 18 300 ₽): ≈4 часа — настройка и запуск, 1 час — вопросы по 1С. За часы вы не платите.</w:t>
            </w:r>
          </w:p>
        </w:tc>
      </w:tr>
    </w:tbl>
    <w:p>
      <w:pPr>
        <w:spacing w:after="160" w:before="0"/>
      </w:pPr>
      <w:r>
        <w:rPr>
          <w:rFonts w:ascii="Arial" w:hAnsi="Arial" w:eastAsia="Arial"/>
          <w:b w:val="0"/>
          <w:color w:val="2B2B2B"/>
          <w:sz w:val="20"/>
        </w:rPr>
      </w:r>
    </w:p>
    <w:p>
      <w:pPr>
        <w:spacing w:after="40" w:before="0"/>
        <w:pBdr>
          <w:bottom w:val="single" w:sz="20" w:space="2" w:color="F0C14A"/>
        </w:pBdr>
      </w:pPr>
      <w:r>
        <w:rPr>
          <w:rFonts w:ascii="Arial" w:hAnsi="Arial" w:eastAsia="Arial"/>
          <w:b/>
          <w:color w:val="2B2B2B"/>
          <w:sz w:val="26"/>
        </w:rPr>
        <w:t>Почему это легче и выгоднее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F0C14A"/>
          <w:left w:val="single" w:sz="8" w:space="0" w:color="F0C14A"/>
          <w:bottom w:val="single" w:sz="8" w:space="0" w:color="F0C14A"/>
          <w:right w:val="single" w:sz="8" w:space="0" w:color="F0C14A"/>
          <w:insideH w:val="single" w:sz="8" w:space="0" w:color="F0C14A"/>
          <w:insideV w:val="single" w:sz="8" w:space="0" w:color="F0C14A"/>
        </w:tblBorders>
      </w:tblPr>
      <w:tblGrid>
        <w:gridCol w:w="5159"/>
        <w:gridCol w:w="5159"/>
      </w:tblGrid>
      <w:tr>
        <w:tc>
          <w:tcPr>
            <w:tcW w:type="dxa" w:w="850"/>
            <w:shd w:fill="F0C14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8"/>
              </w:rPr>
              <w:t>01</w:t>
            </w:r>
          </w:p>
        </w:tc>
        <w:tc>
          <w:tcPr>
            <w:tcW w:type="dxa" w:w="5159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Без новой платформы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Сотрудники и кадры работают через 1С и личный кабинет. ИТ-отделу не нужно поднимать отдельную систему.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F0C14A"/>
          <w:left w:val="single" w:sz="8" w:space="0" w:color="F0C14A"/>
          <w:bottom w:val="single" w:sz="8" w:space="0" w:color="F0C14A"/>
          <w:right w:val="single" w:sz="8" w:space="0" w:color="F0C14A"/>
          <w:insideH w:val="single" w:sz="8" w:space="0" w:color="F0C14A"/>
          <w:insideV w:val="single" w:sz="8" w:space="0" w:color="F0C14A"/>
        </w:tblBorders>
      </w:tblPr>
      <w:tblGrid>
        <w:gridCol w:w="5159"/>
        <w:gridCol w:w="5159"/>
      </w:tblGrid>
      <w:tr>
        <w:tc>
          <w:tcPr>
            <w:tcW w:type="dxa" w:w="850"/>
            <w:shd w:fill="F0C14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8"/>
              </w:rPr>
              <w:t>02</w:t>
            </w:r>
          </w:p>
        </w:tc>
        <w:tc>
          <w:tcPr>
            <w:tcW w:type="dxa" w:w="5159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Запуск за часы, не месяцы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Типовая настройка — около одного рабочего дня. Пилот за 1–2 недели, все 750 кабинетов за 1–1,5 месяца.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F0C14A"/>
          <w:left w:val="single" w:sz="8" w:space="0" w:color="F0C14A"/>
          <w:bottom w:val="single" w:sz="8" w:space="0" w:color="F0C14A"/>
          <w:right w:val="single" w:sz="8" w:space="0" w:color="F0C14A"/>
          <w:insideH w:val="single" w:sz="8" w:space="0" w:color="F0C14A"/>
          <w:insideV w:val="single" w:sz="8" w:space="0" w:color="F0C14A"/>
        </w:tblBorders>
      </w:tblPr>
      <w:tblGrid>
        <w:gridCol w:w="5159"/>
        <w:gridCol w:w="5159"/>
      </w:tblGrid>
      <w:tr>
        <w:tc>
          <w:tcPr>
            <w:tcW w:type="dxa" w:w="850"/>
            <w:shd w:fill="F0C14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8"/>
              </w:rPr>
              <w:t>03</w:t>
            </w:r>
          </w:p>
        </w:tc>
        <w:tc>
          <w:tcPr>
            <w:tcW w:type="dxa" w:w="5159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Прозрачная цена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В счёте — только пакет кабинетов. Часы на настройку и стартовые вопросы уже внутри подарка.</w:t>
            </w:r>
          </w:p>
        </w:tc>
      </w:tr>
    </w:tbl>
    <w:p>
      <w:pPr>
        <w:spacing w:after="80"/>
      </w:pPr>
    </w:p>
    <w:p>
      <w:pPr>
        <w:spacing w:after="40" w:before="0"/>
        <w:pBdr>
          <w:bottom w:val="single" w:sz="20" w:space="2" w:color="F0C14A"/>
        </w:pBdr>
      </w:pPr>
      <w:r>
        <w:rPr>
          <w:rFonts w:ascii="Arial" w:hAnsi="Arial" w:eastAsia="Arial"/>
          <w:b/>
          <w:color w:val="2B2B2B"/>
          <w:sz w:val="26"/>
        </w:rPr>
        <w:t>Сравнение для выбора подрядчика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F0C14A"/>
          <w:left w:val="single" w:sz="8" w:space="0" w:color="F0C14A"/>
          <w:bottom w:val="single" w:sz="8" w:space="0" w:color="F0C14A"/>
          <w:right w:val="single" w:sz="8" w:space="0" w:color="F0C14A"/>
          <w:insideH w:val="single" w:sz="8" w:space="0" w:color="F0C14A"/>
          <w:insideV w:val="single" w:sz="8" w:space="0" w:color="F0C14A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F0C14A" w:val="clear"/>
          </w:tcPr>
          <w:p>
            <w:r>
              <w:rPr>
                <w:rFonts w:ascii="Arial" w:hAnsi="Arial" w:eastAsia="Arial"/>
                <w:b/>
                <w:sz w:val="18"/>
              </w:rPr>
              <w:t>Критерий</w:t>
            </w:r>
          </w:p>
        </w:tc>
        <w:tc>
          <w:tcPr>
            <w:tcW w:type="dxa" w:w="3439"/>
            <w:shd w:fill="F0C14A" w:val="clear"/>
          </w:tcPr>
          <w:p>
            <w:r>
              <w:rPr>
                <w:rFonts w:ascii="Arial" w:hAnsi="Arial" w:eastAsia="Arial"/>
                <w:b/>
                <w:sz w:val="18"/>
              </w:rPr>
              <w:t>Предложение Форус</w:t>
            </w:r>
          </w:p>
        </w:tc>
        <w:tc>
          <w:tcPr>
            <w:tcW w:type="dxa" w:w="3439"/>
            <w:shd w:fill="F0C14A" w:val="clear"/>
          </w:tcPr>
          <w:p>
            <w:r>
              <w:rPr>
                <w:rFonts w:ascii="Arial" w:hAnsi="Arial" w:eastAsia="Arial"/>
                <w:b/>
                <w:sz w:val="18"/>
              </w:rPr>
              <w:t>Типичные альтернативы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2B2B2B"/>
                <w:sz w:val="16"/>
              </w:rPr>
              <w:t>Запуск</w:t>
            </w:r>
          </w:p>
        </w:tc>
        <w:tc>
          <w:tcPr>
            <w:tcW w:type="dxa" w:w="3439"/>
            <w:shd w:fill="E8F5E9" w:val="clear"/>
          </w:tcPr>
          <w:p>
            <w:r>
              <w:rPr>
                <w:rFonts w:ascii="Arial" w:hAnsi="Arial" w:eastAsia="Arial"/>
                <w:b w:val="0"/>
                <w:color w:val="2E7D32"/>
                <w:sz w:val="16"/>
              </w:rPr>
              <w:t>Около 4 часов настройки</w:t>
            </w:r>
          </w:p>
        </w:tc>
        <w:tc>
          <w:tcPr>
            <w:tcW w:type="dxa" w:w="3439"/>
            <w:shd w:fill="FFEBEE" w:val="clear"/>
          </w:tcPr>
          <w:p>
            <w:r>
              <w:rPr>
                <w:rFonts w:ascii="Arial" w:hAnsi="Arial" w:eastAsia="Arial"/>
                <w:b w:val="0"/>
                <w:color w:val="C62828"/>
                <w:sz w:val="16"/>
              </w:rPr>
              <w:t>Часто долгое внедрение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2B2B2B"/>
                <w:sz w:val="16"/>
              </w:rPr>
              <w:t>Система</w:t>
            </w:r>
          </w:p>
        </w:tc>
        <w:tc>
          <w:tcPr>
            <w:tcW w:type="dxa" w:w="3439"/>
            <w:shd w:fill="E8F5E9" w:val="clear"/>
          </w:tcPr>
          <w:p>
            <w:r>
              <w:rPr>
                <w:rFonts w:ascii="Arial" w:hAnsi="Arial" w:eastAsia="Arial"/>
                <w:b w:val="0"/>
                <w:color w:val="2E7D32"/>
                <w:sz w:val="16"/>
              </w:rPr>
              <w:t>Внутри вашей 1С</w:t>
            </w:r>
          </w:p>
        </w:tc>
        <w:tc>
          <w:tcPr>
            <w:tcW w:type="dxa" w:w="3439"/>
            <w:shd w:fill="FFEBEE" w:val="clear"/>
          </w:tcPr>
          <w:p>
            <w:r>
              <w:rPr>
                <w:rFonts w:ascii="Arial" w:hAnsi="Arial" w:eastAsia="Arial"/>
                <w:b w:val="0"/>
                <w:color w:val="C62828"/>
                <w:sz w:val="16"/>
              </w:rPr>
              <w:t>Отдельная кадровая платформа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2B2B2B"/>
                <w:sz w:val="16"/>
              </w:rPr>
              <w:t>ИТ-нагрузка</w:t>
            </w:r>
          </w:p>
        </w:tc>
        <w:tc>
          <w:tcPr>
            <w:tcW w:type="dxa" w:w="3439"/>
            <w:shd w:fill="E8F5E9" w:val="clear"/>
          </w:tcPr>
          <w:p>
            <w:r>
              <w:rPr>
                <w:rFonts w:ascii="Arial" w:hAnsi="Arial" w:eastAsia="Arial"/>
                <w:b w:val="0"/>
                <w:color w:val="2E7D32"/>
                <w:sz w:val="16"/>
              </w:rPr>
              <w:t>Без новых клиентских лицензий 1С</w:t>
            </w:r>
          </w:p>
        </w:tc>
        <w:tc>
          <w:tcPr>
            <w:tcW w:type="dxa" w:w="3439"/>
            <w:shd w:fill="FFEBEE" w:val="clear"/>
          </w:tcPr>
          <w:p>
            <w:r>
              <w:rPr>
                <w:rFonts w:ascii="Arial" w:hAnsi="Arial" w:eastAsia="Arial"/>
                <w:b w:val="0"/>
                <w:color w:val="C62828"/>
                <w:sz w:val="16"/>
              </w:rPr>
              <w:t>Новые доступы и интеграции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2B2B2B"/>
                <w:sz w:val="16"/>
              </w:rPr>
              <w:t>Документы</w:t>
            </w:r>
          </w:p>
        </w:tc>
        <w:tc>
          <w:tcPr>
            <w:tcW w:type="dxa" w:w="3439"/>
            <w:shd w:fill="E8F5E9" w:val="clear"/>
          </w:tcPr>
          <w:p>
            <w:r>
              <w:rPr>
                <w:rFonts w:ascii="Arial" w:hAnsi="Arial" w:eastAsia="Arial"/>
                <w:b w:val="0"/>
                <w:color w:val="2E7D32"/>
                <w:sz w:val="16"/>
              </w:rPr>
              <w:t>В вашей базе 1С</w:t>
            </w:r>
          </w:p>
        </w:tc>
        <w:tc>
          <w:tcPr>
            <w:tcW w:type="dxa" w:w="3439"/>
            <w:shd w:fill="FFEBEE" w:val="clear"/>
          </w:tcPr>
          <w:p>
            <w:r>
              <w:rPr>
                <w:rFonts w:ascii="Arial" w:hAnsi="Arial" w:eastAsia="Arial"/>
                <w:b w:val="0"/>
                <w:color w:val="C62828"/>
                <w:sz w:val="16"/>
              </w:rPr>
              <w:t>Облако оператора, часто платно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2B2B2B"/>
                <w:sz w:val="16"/>
              </w:rPr>
              <w:t>Оплата старта</w:t>
            </w:r>
          </w:p>
        </w:tc>
        <w:tc>
          <w:tcPr>
            <w:tcW w:type="dxa" w:w="3439"/>
            <w:shd w:fill="E8F5E9" w:val="clear"/>
          </w:tcPr>
          <w:p>
            <w:r>
              <w:rPr>
                <w:rFonts w:ascii="Arial" w:hAnsi="Arial" w:eastAsia="Arial"/>
                <w:b w:val="0"/>
                <w:color w:val="2E7D32"/>
                <w:sz w:val="16"/>
              </w:rPr>
              <w:t>Часы поддержки — подарок</w:t>
            </w:r>
          </w:p>
        </w:tc>
        <w:tc>
          <w:tcPr>
            <w:tcW w:type="dxa" w:w="3439"/>
            <w:shd w:fill="FFEBEE" w:val="clear"/>
          </w:tcPr>
          <w:p>
            <w:r>
              <w:rPr>
                <w:rFonts w:ascii="Arial" w:hAnsi="Arial" w:eastAsia="Arial"/>
                <w:b w:val="0"/>
                <w:color w:val="C62828"/>
                <w:sz w:val="16"/>
              </w:rPr>
              <w:t>Внедрение обычно отдельной строкой</w:t>
            </w:r>
          </w:p>
        </w:tc>
      </w:tr>
    </w:tbl>
    <w:p>
      <w:pPr>
        <w:spacing w:after="160" w:before="0"/>
      </w:pPr>
      <w:r>
        <w:rPr>
          <w:rFonts w:ascii="Arial" w:hAnsi="Arial" w:eastAsia="Arial"/>
          <w:b w:val="0"/>
          <w:color w:val="2B2B2B"/>
          <w:sz w:val="20"/>
        </w:rPr>
      </w:r>
    </w:p>
    <w:p>
      <w:pPr>
        <w:spacing w:after="40" w:before="0"/>
        <w:pBdr>
          <w:bottom w:val="single" w:sz="20" w:space="2" w:color="F0C14A"/>
        </w:pBdr>
      </w:pPr>
      <w:r>
        <w:rPr>
          <w:rFonts w:ascii="Arial" w:hAnsi="Arial" w:eastAsia="Arial"/>
          <w:b/>
          <w:color w:val="2B2B2B"/>
          <w:sz w:val="26"/>
        </w:rPr>
        <w:t>Как проходит запуск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F0C14A"/>
          <w:left w:val="single" w:sz="8" w:space="0" w:color="F0C14A"/>
          <w:bottom w:val="single" w:sz="8" w:space="0" w:color="F0C14A"/>
          <w:right w:val="single" w:sz="8" w:space="0" w:color="F0C14A"/>
          <w:insideH w:val="single" w:sz="8" w:space="0" w:color="F0C14A"/>
          <w:insideV w:val="single" w:sz="8" w:space="0" w:color="F0C14A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FFFBE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9A7A10"/>
                <w:sz w:val="24"/>
              </w:rPr>
              <w:t>1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Договор и доступы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66666"/>
                <w:sz w:val="16"/>
              </w:rPr>
              <w:t>2–4 дня</w:t>
            </w:r>
          </w:p>
        </w:tc>
        <w:tc>
          <w:tcPr>
            <w:tcW w:type="dxa" w:w="2064"/>
            <w:shd w:fill="FFFBE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9A7A10"/>
                <w:sz w:val="24"/>
              </w:rPr>
              <w:t>2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Настройка ≈4 часа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66666"/>
                <w:sz w:val="16"/>
              </w:rPr>
              <w:t>1 день</w:t>
            </w:r>
          </w:p>
        </w:tc>
        <w:tc>
          <w:tcPr>
            <w:tcW w:type="dxa" w:w="2064"/>
            <w:shd w:fill="FFFBE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9A7A10"/>
                <w:sz w:val="24"/>
              </w:rPr>
              <w:t>3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Пилот на группе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66666"/>
                <w:sz w:val="16"/>
              </w:rPr>
              <w:t>до 1 недели</w:t>
            </w:r>
          </w:p>
        </w:tc>
        <w:tc>
          <w:tcPr>
            <w:tcW w:type="dxa" w:w="2064"/>
            <w:shd w:fill="FFFBE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9A7A10"/>
                <w:sz w:val="24"/>
              </w:rPr>
              <w:t>4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Все 750 кабинетов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66666"/>
                <w:sz w:val="16"/>
              </w:rPr>
              <w:t>2–3 недели</w:t>
            </w:r>
          </w:p>
        </w:tc>
        <w:tc>
          <w:tcPr>
            <w:tcW w:type="dxa" w:w="2064"/>
            <w:shd w:fill="FFFBE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9A7A10"/>
                <w:sz w:val="24"/>
              </w:rPr>
              <w:t>5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1 час в запасе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66666"/>
                <w:sz w:val="16"/>
              </w:rPr>
              <w:t>по запросу</w:t>
            </w:r>
          </w:p>
        </w:tc>
      </w:tr>
    </w:tbl>
    <w:p>
      <w:pPr>
        <w:spacing w:after="160" w:before="0"/>
      </w:pPr>
      <w:r>
        <w:rPr>
          <w:rFonts w:ascii="Arial" w:hAnsi="Arial" w:eastAsia="Arial"/>
          <w:b w:val="0"/>
          <w:color w:val="2B2B2B"/>
          <w:sz w:val="20"/>
        </w:rPr>
      </w:r>
    </w:p>
    <w:p>
      <w:pPr>
        <w:spacing w:after="40" w:before="0"/>
        <w:pBdr>
          <w:bottom w:val="single" w:sz="20" w:space="2" w:color="F0C14A"/>
        </w:pBdr>
      </w:pPr>
      <w:r>
        <w:rPr>
          <w:rFonts w:ascii="Arial" w:hAnsi="Arial" w:eastAsia="Arial"/>
          <w:b/>
          <w:color w:val="2B2B2B"/>
          <w:sz w:val="26"/>
        </w:rPr>
        <w:t>Ценообразование — одной таблицей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F0C14A"/>
          <w:left w:val="single" w:sz="8" w:space="0" w:color="F0C14A"/>
          <w:bottom w:val="single" w:sz="8" w:space="0" w:color="F0C14A"/>
          <w:right w:val="single" w:sz="8" w:space="0" w:color="F0C14A"/>
          <w:insideH w:val="single" w:sz="8" w:space="0" w:color="F0C14A"/>
          <w:insideV w:val="single" w:sz="8" w:space="0" w:color="F0C14A"/>
        </w:tblBorders>
      </w:tblPr>
      <w:tblGrid>
        <w:gridCol w:w="5159"/>
        <w:gridCol w:w="5159"/>
      </w:tblGrid>
      <w:tr>
        <w:tc>
          <w:tcPr>
            <w:tcW w:type="dxa" w:w="5159"/>
            <w:shd w:fill="F0C14A" w:val="clear"/>
          </w:tcPr>
          <w:p>
            <w:r>
              <w:rPr>
                <w:rFonts w:ascii="Arial" w:hAnsi="Arial" w:eastAsia="Arial"/>
                <w:b/>
                <w:sz w:val="18"/>
              </w:rPr>
              <w:t>Статья</w:t>
            </w:r>
          </w:p>
        </w:tc>
        <w:tc>
          <w:tcPr>
            <w:tcW w:type="dxa" w:w="5159"/>
            <w:shd w:fill="F0C14A" w:val="clear"/>
          </w:tcPr>
          <w:p>
            <w:r>
              <w:rPr>
                <w:rFonts w:ascii="Arial" w:hAnsi="Arial" w:eastAsia="Arial"/>
                <w:b/>
                <w:sz w:val="18"/>
              </w:rPr>
              <w:t>Сумма</w:t>
            </w:r>
          </w:p>
        </w:tc>
      </w:tr>
      <w:tr>
        <w:tc>
          <w:tcPr>
            <w:tcW w:type="dxa" w:w="5159"/>
            <w:shd w:fill="FFFBEA" w:val="clear"/>
          </w:tcPr>
          <w:p>
            <w:r>
              <w:rPr>
                <w:rFonts w:ascii="Arial" w:hAnsi="Arial" w:eastAsia="Arial"/>
                <w:b w:val="0"/>
                <w:sz w:val="18"/>
              </w:rPr>
              <w:t>750 личных кабинетов на 12 месяцев (пакеты 500+200+50)</w:t>
            </w:r>
          </w:p>
        </w:tc>
        <w:tc>
          <w:tcPr>
            <w:tcW w:type="dxa" w:w="5159"/>
            <w:shd w:fill="FFFBEA" w:val="clear"/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2B2B2B"/>
                <w:sz w:val="20"/>
              </w:rPr>
              <w:t>223 200 ₽</w:t>
            </w:r>
          </w:p>
        </w:tc>
      </w:tr>
      <w:tr>
        <w:tc>
          <w:tcPr>
            <w:tcW w:type="dxa" w:w="5159"/>
            <w:shd w:fill="FFF6D8" w:val="clear"/>
          </w:tcPr>
          <w:p>
            <w:r>
              <w:rPr>
                <w:rFonts w:ascii="Arial" w:hAnsi="Arial" w:eastAsia="Arial"/>
                <w:b w:val="0"/>
                <w:sz w:val="18"/>
              </w:rPr>
              <w:t>Настройка и запуск сервиса (≈4 часа поддержки)</w:t>
            </w:r>
          </w:p>
        </w:tc>
        <w:tc>
          <w:tcPr>
            <w:tcW w:type="dxa" w:w="5159"/>
            <w:shd w:fill="FFF6D8" w:val="clear"/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2E7D32"/>
                <w:sz w:val="20"/>
              </w:rPr>
              <w:t>0 ₽ — из подарка</w:t>
            </w:r>
          </w:p>
        </w:tc>
      </w:tr>
      <w:tr>
        <w:tc>
          <w:tcPr>
            <w:tcW w:type="dxa" w:w="5159"/>
            <w:shd w:fill="FFF6D8" w:val="clear"/>
          </w:tcPr>
          <w:p>
            <w:r>
              <w:rPr>
                <w:rFonts w:ascii="Arial" w:hAnsi="Arial" w:eastAsia="Arial"/>
                <w:b w:val="0"/>
                <w:sz w:val="18"/>
              </w:rPr>
              <w:t>Запас на вопросы по 1С после запуска (1 час)</w:t>
            </w:r>
          </w:p>
        </w:tc>
        <w:tc>
          <w:tcPr>
            <w:tcW w:type="dxa" w:w="5159"/>
            <w:shd w:fill="FFF6D8" w:val="clear"/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2E7D32"/>
                <w:sz w:val="20"/>
              </w:rPr>
              <w:t>0 ₽ — из подарка</w:t>
            </w:r>
          </w:p>
        </w:tc>
      </w:tr>
      <w:tr>
        <w:tc>
          <w:tcPr>
            <w:tcW w:type="dxa" w:w="5159"/>
            <w:shd w:fill="FFF6D8" w:val="clear"/>
          </w:tcPr>
          <w:p>
            <w:r>
              <w:rPr>
                <w:rFonts w:ascii="Arial" w:hAnsi="Arial" w:eastAsia="Arial"/>
                <w:b w:val="0"/>
                <w:sz w:val="18"/>
              </w:rPr>
              <w:t>Подарок по акции — 5 часов линии консультаций</w:t>
            </w:r>
          </w:p>
        </w:tc>
        <w:tc>
          <w:tcPr>
            <w:tcW w:type="dxa" w:w="5159"/>
            <w:shd w:fill="FFF6D8" w:val="clear"/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2E7D32"/>
                <w:sz w:val="20"/>
              </w:rPr>
              <w:t>выгода 18 300 ₽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4" w:space="0" w:color="F0C14A"/>
          <w:left w:val="single" w:sz="14" w:space="0" w:color="F0C14A"/>
          <w:bottom w:val="single" w:sz="14" w:space="0" w:color="F0C14A"/>
          <w:right w:val="single" w:sz="14" w:space="0" w:color="F0C14A"/>
          <w:insideH w:val="single" w:sz="14" w:space="0" w:color="F0C14A"/>
          <w:insideV w:val="single" w:sz="14" w:space="0" w:color="F0C14A"/>
        </w:tblBorders>
      </w:tblPr>
      <w:tblGrid>
        <w:gridCol w:w="5159"/>
        <w:gridCol w:w="5159"/>
      </w:tblGrid>
      <w:tr>
        <w:tc>
          <w:tcPr>
            <w:tcW w:type="dxa" w:w="5159"/>
            <w:shd w:fill="F0C14A" w:val="clear"/>
          </w:tcPr>
          <w:p>
            <w:r>
              <w:rPr>
                <w:rFonts w:ascii="Arial" w:hAnsi="Arial" w:eastAsia="Arial"/>
                <w:b/>
                <w:sz w:val="24"/>
              </w:rPr>
              <w:t>Итого к оплате</w:t>
            </w:r>
          </w:p>
          <w:p>
            <w:r>
              <w:rPr>
                <w:rFonts w:ascii="Arial" w:hAnsi="Arial" w:eastAsia="Arial"/>
                <w:b w:val="0"/>
                <w:sz w:val="16"/>
              </w:rPr>
              <w:t>Только пакет кабинетов. Настройка и стартовая поддержка — бесплатно.</w:t>
            </w:r>
          </w:p>
        </w:tc>
        <w:tc>
          <w:tcPr>
            <w:tcW w:type="dxa" w:w="5159"/>
            <w:shd w:fill="F0C14A" w:val="clear"/>
          </w:tcPr>
          <w:p>
            <w:pPr>
              <w:jc w:val="right"/>
            </w:pPr>
            <w:r>
              <w:rPr>
                <w:rFonts w:ascii="Arial" w:hAnsi="Arial" w:eastAsia="Arial"/>
                <w:b/>
                <w:sz w:val="36"/>
              </w:rPr>
              <w:t>223 200 ₽</w:t>
            </w:r>
          </w:p>
        </w:tc>
      </w:tr>
    </w:tbl>
    <w:p>
      <w:pPr>
        <w:spacing w:after="160" w:before="0"/>
      </w:pPr>
      <w:r>
        <w:rPr>
          <w:rFonts w:ascii="Arial" w:hAnsi="Arial" w:eastAsia="Arial"/>
          <w:b w:val="0"/>
          <w:color w:val="2B2B2B"/>
          <w:sz w:val="20"/>
        </w:rPr>
      </w:r>
    </w:p>
    <w:p>
      <w:pPr>
        <w:spacing w:after="40" w:before="0"/>
        <w:pBdr>
          <w:bottom w:val="single" w:sz="20" w:space="2" w:color="F0C14A"/>
        </w:pBdr>
      </w:pPr>
      <w:r>
        <w:rPr>
          <w:rFonts w:ascii="Arial" w:hAnsi="Arial" w:eastAsia="Arial"/>
          <w:b/>
          <w:color w:val="2B2B2B"/>
          <w:sz w:val="26"/>
        </w:rPr>
        <w:t>Важно знать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F0C14A"/>
          <w:left w:val="single" w:sz="8" w:space="0" w:color="F0C14A"/>
          <w:bottom w:val="single" w:sz="8" w:space="0" w:color="F0C14A"/>
          <w:right w:val="single" w:sz="8" w:space="0" w:color="F0C14A"/>
          <w:insideH w:val="single" w:sz="8" w:space="0" w:color="F0C14A"/>
          <w:insideV w:val="single" w:sz="8" w:space="0" w:color="F0C14A"/>
        </w:tblBorders>
      </w:tblPr>
      <w:tblGrid>
        <w:gridCol w:w="5159"/>
        <w:gridCol w:w="5159"/>
      </w:tblGrid>
      <w:tr>
        <w:tc>
          <w:tcPr>
            <w:tcW w:type="dxa" w:w="5159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Подпись бесплатно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Электронная подпись сотрудникам выпускается бесплатно.</w:t>
            </w:r>
          </w:p>
        </w:tc>
        <w:tc>
          <w:tcPr>
            <w:tcW w:type="dxa" w:w="5159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Шаблоны документов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Положение, уведомления и согласия для перехода — в комплекте.</w:t>
            </w:r>
          </w:p>
        </w:tc>
      </w:tr>
      <w:tr>
        <w:tc>
          <w:tcPr>
            <w:tcW w:type="dxa" w:w="5159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Формат работ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Удалённо. Выезд и нетиповые доработки — отдельно.</w:t>
            </w:r>
          </w:p>
        </w:tc>
        <w:tc>
          <w:tcPr>
            <w:tcW w:type="dxa" w:w="5159"/>
            <w:shd w:fill="FFFBEA" w:val="clear"/>
          </w:tcPr>
          <w:p>
            <w:r>
              <w:rPr>
                <w:rFonts w:ascii="Arial" w:hAnsi="Arial" w:eastAsia="Arial"/>
                <w:b/>
                <w:sz w:val="20"/>
              </w:rPr>
              <w:t>Срок предложения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Действует 30 дней с даты отправки.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F0C14A"/>
          <w:left w:val="single" w:sz="12" w:space="0" w:color="F0C14A"/>
          <w:bottom w:val="single" w:sz="12" w:space="0" w:color="F0C14A"/>
          <w:right w:val="single" w:sz="12" w:space="0" w:color="F0C14A"/>
          <w:insideH w:val="single" w:sz="12" w:space="0" w:color="F0C14A"/>
          <w:insideV w:val="single" w:sz="12" w:space="0" w:color="F0C14A"/>
        </w:tblBorders>
      </w:tblPr>
      <w:tblGrid>
        <w:gridCol w:w="5159"/>
        <w:gridCol w:w="5159"/>
      </w:tblGrid>
      <w:tr>
        <w:tc>
          <w:tcPr>
            <w:tcW w:type="dxa" w:w="5159"/>
            <w:shd w:fill="FFF6D8" w:val="clear"/>
          </w:tcPr>
          <w:p>
            <w:r>
              <w:rPr>
                <w:rFonts w:ascii="Arial" w:hAnsi="Arial" w:eastAsia="Arial"/>
                <w:b w:val="0"/>
                <w:color w:val="666666"/>
                <w:sz w:val="16"/>
              </w:rPr>
              <w:t>Ваш менеджер</w:t>
            </w:r>
          </w:p>
          <w:p>
            <w:r>
              <w:rPr>
                <w:rFonts w:ascii="Arial" w:hAnsi="Arial" w:eastAsia="Arial"/>
                <w:b/>
                <w:sz w:val="26"/>
              </w:rPr>
              <w:t>Данил Кургузов</w:t>
            </w:r>
          </w:p>
          <w:p>
            <w:r>
              <w:rPr>
                <w:rFonts w:ascii="Arial" w:hAnsi="Arial" w:eastAsia="Arial"/>
                <w:b w:val="0"/>
                <w:sz w:val="18"/>
              </w:rPr>
              <w:t>dkurguzov@forus.ru</w:t>
            </w:r>
          </w:p>
          <w:p>
            <w:r>
              <w:rPr>
                <w:rFonts w:ascii="Arial" w:hAnsi="Arial" w:eastAsia="Arial"/>
                <w:b w:val="0"/>
                <w:sz w:val="18"/>
              </w:rPr>
              <w:t>+7 (3952) 78-00-00</w:t>
            </w:r>
          </w:p>
        </w:tc>
        <w:tc>
          <w:tcPr>
            <w:tcW w:type="dxa" w:w="5159"/>
            <w:shd w:fill="FFF6D8" w:val="clear"/>
          </w:tcPr>
          <w:p>
            <w:r>
              <w:rPr>
                <w:rFonts w:ascii="Arial" w:hAnsi="Arial" w:eastAsia="Arial"/>
                <w:b/>
                <w:sz w:val="22"/>
              </w:rPr>
              <w:t>ГК «Форус»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Готовы подключить и показать на демо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для кадровой службы и ИТ-отдела</w:t>
            </w:r>
          </w:p>
          <w:p>
            <w:r>
              <w:rPr>
                <w:rFonts w:ascii="Arial" w:hAnsi="Arial" w:eastAsia="Arial"/>
                <w:b w:val="0"/>
                <w:color w:val="666666"/>
                <w:sz w:val="18"/>
              </w:rPr>
              <w:t>www.forus.ru</w:t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