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5000" w:type="pct"/>
      </w:tblPr>
      <w:tblGrid>
        <w:gridCol w:w="4933"/>
        <w:gridCol w:w="4933"/>
      </w:tblGrid>
      <w:tr>
        <w:tc>
          <w:tcPr>
            <w:tcW w:type="dxa" w:w="3118"/>
            <w:shd w:val="clear" w:color="auto" w:fill="FCCD68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Verdana" w:hAnsi="Verdana" w:cs="Verdana" w:eastAsia="Verdana"/>
                <w:b/>
                <w:color w:val="1A1A1A"/>
                <w:sz w:val="32"/>
              </w:rPr>
              <w:t>ФОРУС</w:t>
            </w:r>
          </w:p>
        </w:tc>
        <w:tc>
          <w:tcPr>
            <w:tcW w:type="dxa" w:w="6803"/>
            <w:shd w:val="clear" w:color="auto" w:fill="FCCD68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rPr>
                <w:rFonts w:ascii="Verdana" w:hAnsi="Verdana" w:cs="Verdana" w:eastAsia="Verdana"/>
                <w:b w:val="0"/>
                <w:color w:val="1A1A1A"/>
                <w:sz w:val="18"/>
              </w:rPr>
              <w:t>Группа компаний  ·  Отдел продуктового запуска</w:t>
            </w:r>
          </w:p>
        </w:tc>
      </w:tr>
    </w:tbl>
    <w:p>
      <w:pPr>
        <w:spacing w:before="280" w:after="80" w:line="276" w:lineRule="auto"/>
        <w:jc w:val="center"/>
        <w:pBdr>
          <w:bottom w:val="single" w:sz="28" w:space="1" w:color="FCCD68"/>
        </w:pBdr>
      </w:pPr>
      <w:r>
        <w:rPr>
          <w:rFonts w:ascii="Verdana" w:hAnsi="Verdana" w:cs="Verdana" w:eastAsia="Verdana"/>
          <w:b/>
          <w:color w:val="1A1A1A"/>
          <w:sz w:val="28"/>
        </w:rPr>
        <w:t>ДОЛЖНОСТНАЯ ИНСТРУКЦИЯ</w:t>
      </w:r>
    </w:p>
    <w:p>
      <w:pPr>
        <w:spacing w:before="120" w:after="200" w:line="276" w:lineRule="auto"/>
        <w:jc w:val="center"/>
      </w:pPr>
      <w:r>
        <w:rPr>
          <w:rFonts w:ascii="Verdana" w:hAnsi="Verdana" w:cs="Verdana" w:eastAsia="Verdana"/>
          <w:b/>
          <w:color w:val="1A1A1A"/>
          <w:sz w:val="24"/>
        </w:rPr>
        <w:t>Тимлид группы продуктового запуска</w:t>
      </w:r>
    </w:p>
    <w:tbl>
      <w:tblPr>
        <w:tblLook w:firstColumn="1" w:firstRow="1" w:lastColumn="0" w:lastRow="0" w:noHBand="0" w:noVBand="1" w:val="04A0"/>
        <w:tblW w:w="5000" w:type="pct"/>
      </w:tblPr>
      <w:tblGrid>
        <w:gridCol w:w="2466"/>
        <w:gridCol w:w="2466"/>
        <w:gridCol w:w="2466"/>
        <w:gridCol w:w="2466"/>
      </w:tblGrid>
      <w:tr>
        <w:tc>
          <w:tcPr>
            <w:tcW w:type="dxa" w:w="1928"/>
            <w:shd w:val="clear" w:color="auto" w:fill="FFF3D6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Verdana" w:hAnsi="Verdana" w:cs="Verdana" w:eastAsia="Verdana"/>
                <w:b/>
                <w:color w:val="1A1A1A"/>
                <w:sz w:val="16"/>
              </w:rPr>
              <w:t>Должность</w:t>
            </w:r>
          </w:p>
        </w:tc>
        <w:tc>
          <w:tcPr>
            <w:tcW w:type="dxa" w:w="3402"/>
            <w:shd w:val="clear" w:color="auto"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Verdana" w:hAnsi="Verdana" w:cs="Verdana" w:eastAsia="Verdana"/>
                <w:b w:val="0"/>
                <w:color w:val="1A1A1A"/>
                <w:sz w:val="17"/>
              </w:rPr>
              <w:t>Тимлид группы продуктового запуска</w:t>
            </w:r>
          </w:p>
        </w:tc>
        <w:tc>
          <w:tcPr>
            <w:tcW w:type="dxa" w:w="1928"/>
            <w:shd w:val="clear" w:color="auto" w:fill="FFF3D6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Verdana" w:hAnsi="Verdana" w:cs="Verdana" w:eastAsia="Verdana"/>
                <w:b/>
                <w:color w:val="1A1A1A"/>
                <w:sz w:val="16"/>
              </w:rPr>
              <w:t>Подразделение</w:t>
            </w:r>
          </w:p>
        </w:tc>
        <w:tc>
          <w:tcPr>
            <w:tcW w:type="dxa" w:w="2835"/>
            <w:shd w:val="clear" w:color="auto"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Verdana" w:hAnsi="Verdana" w:cs="Verdana" w:eastAsia="Verdana"/>
                <w:b w:val="0"/>
                <w:color w:val="1A1A1A"/>
                <w:sz w:val="17"/>
              </w:rPr>
              <w:t>Продуктовый запуск</w:t>
            </w:r>
          </w:p>
        </w:tc>
      </w:tr>
      <w:tr>
        <w:tc>
          <w:tcPr>
            <w:tcW w:type="dxa" w:w="1928"/>
            <w:shd w:val="clear" w:color="auto" w:fill="FFF3D6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Verdana" w:hAnsi="Verdana" w:cs="Verdana" w:eastAsia="Verdana"/>
                <w:b/>
                <w:color w:val="1A1A1A"/>
                <w:sz w:val="16"/>
              </w:rPr>
              <w:t>Категория</w:t>
            </w:r>
          </w:p>
        </w:tc>
        <w:tc>
          <w:tcPr>
            <w:tcW w:type="dxa" w:w="3402"/>
            <w:shd w:val="clear" w:color="auto"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Verdana" w:hAnsi="Verdana" w:cs="Verdana" w:eastAsia="Verdana"/>
                <w:b w:val="0"/>
                <w:color w:val="1A1A1A"/>
                <w:sz w:val="17"/>
              </w:rPr>
              <w:t>Руководитель</w:t>
            </w:r>
          </w:p>
        </w:tc>
        <w:tc>
          <w:tcPr>
            <w:tcW w:type="dxa" w:w="1928"/>
            <w:shd w:val="clear" w:color="auto" w:fill="FFF3D6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Verdana" w:hAnsi="Verdana" w:cs="Verdana" w:eastAsia="Verdana"/>
                <w:b/>
                <w:color w:val="1A1A1A"/>
                <w:sz w:val="16"/>
              </w:rPr>
              <w:t>Подчинение</w:t>
            </w:r>
          </w:p>
        </w:tc>
        <w:tc>
          <w:tcPr>
            <w:tcW w:type="dxa" w:w="2835"/>
            <w:shd w:val="clear" w:color="auto"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Verdana" w:hAnsi="Verdana" w:cs="Verdana" w:eastAsia="Verdana"/>
                <w:b w:val="0"/>
                <w:color w:val="1A1A1A"/>
                <w:sz w:val="17"/>
              </w:rPr>
              <w:t>Руководитель направления</w:t>
            </w:r>
          </w:p>
        </w:tc>
      </w:tr>
      <w:tr>
        <w:tc>
          <w:tcPr>
            <w:tcW w:type="dxa" w:w="1928"/>
            <w:shd w:val="clear" w:color="auto" w:fill="FFF3D6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Verdana" w:hAnsi="Verdana" w:cs="Verdana" w:eastAsia="Verdana"/>
                <w:b/>
                <w:color w:val="1A1A1A"/>
                <w:sz w:val="16"/>
              </w:rPr>
              <w:t>В подчинении</w:t>
            </w:r>
          </w:p>
        </w:tc>
        <w:tc>
          <w:tcPr>
            <w:tcW w:type="dxa" w:w="3402"/>
            <w:shd w:val="clear" w:color="auto"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Verdana" w:hAnsi="Verdana" w:cs="Verdana" w:eastAsia="Verdana"/>
                <w:b w:val="0"/>
                <w:color w:val="1A1A1A"/>
                <w:sz w:val="17"/>
              </w:rPr>
              <w:t>Менеджеры по продажам (МПП)</w:t>
            </w:r>
          </w:p>
        </w:tc>
        <w:tc>
          <w:tcPr>
            <w:tcW w:type="dxa" w:w="1928"/>
            <w:shd w:val="clear" w:color="auto" w:fill="FFF3D6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Verdana" w:hAnsi="Verdana" w:cs="Verdana" w:eastAsia="Verdana"/>
                <w:b/>
                <w:color w:val="1A1A1A"/>
                <w:sz w:val="16"/>
              </w:rPr>
              <w:t>Версия</w:t>
            </w:r>
          </w:p>
        </w:tc>
        <w:tc>
          <w:tcPr>
            <w:tcW w:type="dxa" w:w="2835"/>
            <w:shd w:val="clear" w:color="auto"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Verdana" w:hAnsi="Verdana" w:cs="Verdana" w:eastAsia="Verdana"/>
                <w:b w:val="0"/>
                <w:color w:val="1A1A1A"/>
                <w:sz w:val="17"/>
              </w:rPr>
              <w:t>1.0</w:t>
            </w:r>
          </w:p>
        </w:tc>
      </w:tr>
      <w:tr>
        <w:tc>
          <w:tcPr>
            <w:tcW w:type="dxa" w:w="1928"/>
            <w:shd w:val="clear" w:color="auto" w:fill="FFF3D6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Verdana" w:hAnsi="Verdana" w:cs="Verdana" w:eastAsia="Verdana"/>
                <w:b/>
                <w:color w:val="1A1A1A"/>
                <w:sz w:val="16"/>
              </w:rPr>
              <w:t>ФИО сотрудника</w:t>
            </w:r>
          </w:p>
        </w:tc>
        <w:tc>
          <w:tcPr>
            <w:tcW w:type="dxa" w:w="3402"/>
            <w:shd w:val="clear" w:color="auto"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Verdana" w:hAnsi="Verdana" w:cs="Verdana" w:eastAsia="Verdana"/>
                <w:b w:val="0"/>
                <w:color w:val="767677"/>
                <w:sz w:val="17"/>
              </w:rPr>
              <w:t>________________________________</w:t>
            </w:r>
          </w:p>
        </w:tc>
        <w:tc>
          <w:tcPr>
            <w:tcW w:type="dxa" w:w="1928"/>
            <w:shd w:val="clear" w:color="auto" w:fill="FFF3D6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Verdana" w:hAnsi="Verdana" w:cs="Verdana" w:eastAsia="Verdana"/>
                <w:b/>
                <w:color w:val="1A1A1A"/>
                <w:sz w:val="16"/>
              </w:rPr>
              <w:t>Дата введения</w:t>
            </w:r>
          </w:p>
        </w:tc>
        <w:tc>
          <w:tcPr>
            <w:tcW w:type="dxa" w:w="2835"/>
            <w:shd w:val="clear" w:color="auto"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Verdana" w:hAnsi="Verdana" w:cs="Verdana" w:eastAsia="Verdana"/>
                <w:b w:val="0"/>
                <w:color w:val="767677"/>
                <w:sz w:val="17"/>
              </w:rPr>
              <w:t>«____» ________ 20____ г.</w:t>
            </w:r>
          </w:p>
        </w:tc>
      </w:tr>
    </w:tbl>
    <w:p>
      <w:pPr>
        <w:spacing w:before="160" w:after="80" w:line="276" w:lineRule="auto"/>
      </w:pPr>
      <w:r>
        <w:rPr>
          <w:rFonts w:ascii="Verdana" w:hAnsi="Verdana" w:cs="Verdana" w:eastAsia="Verdana"/>
          <w:b w:val="0"/>
          <w:color w:val="767677"/>
          <w:sz w:val="16"/>
        </w:rPr>
        <w:t>Основание: карта функций / компетенций группы продуктового запуска (зона ответственности Тимлида), дополненная блоками продуктовой разработки, взаимодействия со смежными отделами, контроля и обучения МПП.</w:t>
      </w:r>
    </w:p>
    <w:p>
      <w:pPr>
        <w:spacing w:before="240" w:after="120" w:line="276" w:lineRule="auto"/>
        <w:pBdr>
          <w:bottom w:val="single" w:sz="16" w:space="1" w:color="26A6E0"/>
        </w:pBdr>
      </w:pPr>
      <w:r>
        <w:rPr>
          <w:rFonts w:ascii="Verdana" w:hAnsi="Verdana" w:cs="Verdana" w:eastAsia="Verdana"/>
          <w:b/>
          <w:color w:val="1A1A1A"/>
          <w:sz w:val="24"/>
        </w:rPr>
        <w:t>1. Общие положения</w:t>
      </w:r>
    </w:p>
    <w:p>
      <w:pPr>
        <w:spacing w:before="0" w:after="80" w:line="276" w:lineRule="auto"/>
      </w:pPr>
      <w:r>
        <w:rPr>
          <w:rFonts w:ascii="Verdana" w:hAnsi="Verdana" w:cs="Verdana" w:eastAsia="Verdana"/>
          <w:b w:val="0"/>
          <w:color w:val="1A1A1A"/>
          <w:sz w:val="19"/>
        </w:rPr>
        <w:t>1.1. Настоящая должностная инструкция определяет функциональные обязанности, права и ответственность Тимлида группы продуктового запуска ГК Форус.</w:t>
      </w:r>
    </w:p>
    <w:p>
      <w:pPr>
        <w:spacing w:before="0" w:after="80" w:line="276" w:lineRule="auto"/>
      </w:pPr>
      <w:r>
        <w:rPr>
          <w:rFonts w:ascii="Verdana" w:hAnsi="Verdana" w:cs="Verdana" w:eastAsia="Verdana"/>
          <w:b w:val="0"/>
          <w:color w:val="1A1A1A"/>
          <w:sz w:val="19"/>
        </w:rPr>
        <w:t>1.2. Тимлид относится к категории руководителей и назначается / освобождается от должности приказом руководителя в установленном порядке.</w:t>
      </w:r>
    </w:p>
    <w:p>
      <w:pPr>
        <w:spacing w:before="0" w:after="80" w:line="276" w:lineRule="auto"/>
      </w:pPr>
      <w:r>
        <w:rPr>
          <w:rFonts w:ascii="Verdana" w:hAnsi="Verdana" w:cs="Verdana" w:eastAsia="Verdana"/>
          <w:b w:val="0"/>
          <w:color w:val="1A1A1A"/>
          <w:sz w:val="19"/>
        </w:rPr>
        <w:t>1.3. Тимлид непосредственно подчиняется руководителю направления / куратору группы продуктового запуска.</w:t>
      </w:r>
    </w:p>
    <w:p>
      <w:pPr>
        <w:spacing w:before="0" w:after="80" w:line="276" w:lineRule="auto"/>
      </w:pPr>
      <w:r>
        <w:rPr>
          <w:rFonts w:ascii="Verdana" w:hAnsi="Verdana" w:cs="Verdana" w:eastAsia="Verdana"/>
          <w:b w:val="0"/>
          <w:color w:val="1A1A1A"/>
          <w:sz w:val="19"/>
        </w:rPr>
        <w:t>1.4. В непосредственном подчинении Тимлида находятся менеджеры по продажам (МПП) группы продуктового запуска.</w:t>
      </w:r>
    </w:p>
    <w:p>
      <w:pPr>
        <w:spacing w:before="0" w:after="80" w:line="276" w:lineRule="auto"/>
      </w:pPr>
      <w:r>
        <w:rPr>
          <w:rFonts w:ascii="Verdana" w:hAnsi="Verdana" w:cs="Verdana" w:eastAsia="Verdana"/>
          <w:b w:val="0"/>
          <w:color w:val="1A1A1A"/>
          <w:sz w:val="19"/>
        </w:rPr>
        <w:t>1.5. В своей работе Тимлид руководствуется законодательством РФ, локальными нормативными актами ГК Форус, регламентами взаимодействия подразделений, скриптами и стандартами продаж, а также настоящей инструкцией.</w:t>
      </w:r>
    </w:p>
    <w:p>
      <w:pPr>
        <w:spacing w:before="240" w:after="120" w:line="276" w:lineRule="auto"/>
        <w:pBdr>
          <w:bottom w:val="single" w:sz="16" w:space="1" w:color="26A6E0"/>
        </w:pBdr>
      </w:pPr>
      <w:r>
        <w:rPr>
          <w:rFonts w:ascii="Verdana" w:hAnsi="Verdana" w:cs="Verdana" w:eastAsia="Verdana"/>
          <w:b/>
          <w:color w:val="1A1A1A"/>
          <w:sz w:val="24"/>
        </w:rPr>
        <w:t>2. Цель должности</w:t>
      </w:r>
    </w:p>
    <w:p>
      <w:pPr>
        <w:spacing w:before="0" w:after="80" w:line="276" w:lineRule="auto"/>
      </w:pPr>
      <w:r>
        <w:rPr>
          <w:rFonts w:ascii="Verdana" w:hAnsi="Verdana" w:cs="Verdana" w:eastAsia="Verdana"/>
          <w:b w:val="0"/>
          <w:color w:val="1A1A1A"/>
          <w:sz w:val="19"/>
        </w:rPr>
        <w:t>Обеспечить успешный вывод и развитие продуктов на рынке: сформировать продуктовую и коммерческую гипотезу, выстроить продажи через команду МПП, обеспечить качество исполнения стандартов и устойчивый финансовый результат группы.</w:t>
      </w:r>
    </w:p>
    <w:p>
      <w:pPr>
        <w:spacing w:before="240" w:after="120" w:line="276" w:lineRule="auto"/>
        <w:pBdr>
          <w:bottom w:val="single" w:sz="16" w:space="1" w:color="26A6E0"/>
        </w:pBdr>
      </w:pPr>
      <w:r>
        <w:rPr>
          <w:rFonts w:ascii="Verdana" w:hAnsi="Verdana" w:cs="Verdana" w:eastAsia="Verdana"/>
          <w:b/>
          <w:color w:val="1A1A1A"/>
          <w:sz w:val="24"/>
        </w:rPr>
        <w:t>3. Должностные обязанности</w:t>
      </w:r>
    </w:p>
    <w:p>
      <w:pPr>
        <w:spacing w:before="0" w:after="120" w:line="276" w:lineRule="auto"/>
      </w:pPr>
      <w:r>
        <w:rPr>
          <w:rFonts w:ascii="Verdana" w:hAnsi="Verdana" w:cs="Verdana" w:eastAsia="Verdana"/>
          <w:b w:val="0"/>
          <w:color w:val="1A1A1A"/>
          <w:sz w:val="19"/>
        </w:rPr>
        <w:t>Тимлид группы продуктового запуска выполняет следующие функции:</w:t>
      </w:r>
    </w:p>
    <w:p>
      <w:pPr>
        <w:spacing w:before="160" w:after="80" w:line="276" w:lineRule="auto"/>
      </w:pPr>
      <w:r>
        <w:rPr>
          <w:rFonts w:ascii="Verdana" w:hAnsi="Verdana" w:cs="Verdana" w:eastAsia="Verdana"/>
          <w:b/>
          <w:color w:val="1A1A1A"/>
          <w:sz w:val="21"/>
        </w:rPr>
        <w:t>3.1. Продуктовая разработка и адаптация продукта</w:t>
      </w:r>
    </w:p>
    <w:p>
      <w:pPr>
        <w:pStyle w:val="ListBullet"/>
        <w:spacing w:before="0" w:after="40" w:line="276" w:lineRule="auto"/>
      </w:pPr>
      <w:r>
        <w:rPr>
          <w:rFonts w:ascii="Verdana" w:hAnsi="Verdana" w:cs="Verdana" w:eastAsia="Verdana"/>
          <w:b w:val="0"/>
          <w:color w:val="1A1A1A"/>
          <w:sz w:val="19"/>
        </w:rPr>
        <w:t>Участвует в продуктовой разработке: формулирует требования к продукту с опорой на рынок, обратную связь клиентов и результаты продаж.</w:t>
      </w:r>
    </w:p>
    <w:p>
      <w:pPr>
        <w:pStyle w:val="ListBullet"/>
        <w:spacing w:before="0" w:after="40" w:line="276" w:lineRule="auto"/>
      </w:pPr>
      <w:r>
        <w:rPr>
          <w:rFonts w:ascii="Verdana" w:hAnsi="Verdana" w:cs="Verdana" w:eastAsia="Verdana"/>
          <w:b w:val="0"/>
          <w:color w:val="1A1A1A"/>
          <w:sz w:val="19"/>
        </w:rPr>
        <w:t>Адаптирует продукт под потребности сегмента: прорабатывает продуктовые гипотезы, проверяет ценность и ограничения предложения.</w:t>
      </w:r>
    </w:p>
    <w:p>
      <w:pPr>
        <w:pStyle w:val="ListBullet"/>
        <w:spacing w:before="0" w:after="40" w:line="276" w:lineRule="auto"/>
      </w:pPr>
      <w:r>
        <w:rPr>
          <w:rFonts w:ascii="Verdana" w:hAnsi="Verdana" w:cs="Verdana" w:eastAsia="Verdana"/>
          <w:b w:val="0"/>
          <w:color w:val="1A1A1A"/>
          <w:sz w:val="19"/>
        </w:rPr>
        <w:t>Формирует и актуализирует коммерческие предложения (КП) под сегменты и сценарии продаж.</w:t>
      </w:r>
    </w:p>
    <w:p>
      <w:pPr>
        <w:pStyle w:val="ListBullet"/>
        <w:spacing w:before="0" w:after="40" w:line="276" w:lineRule="auto"/>
      </w:pPr>
      <w:r>
        <w:rPr>
          <w:rFonts w:ascii="Verdana" w:hAnsi="Verdana" w:cs="Verdana" w:eastAsia="Verdana"/>
          <w:b w:val="0"/>
          <w:color w:val="1A1A1A"/>
          <w:sz w:val="19"/>
        </w:rPr>
        <w:t>Разрабатывает позиционирование продукта для сегментов и готовит документы по позиционированию.</w:t>
      </w:r>
    </w:p>
    <w:p>
      <w:pPr>
        <w:pStyle w:val="ListBullet"/>
        <w:spacing w:before="0" w:after="40" w:line="276" w:lineRule="auto"/>
      </w:pPr>
      <w:r>
        <w:rPr>
          <w:rFonts w:ascii="Verdana" w:hAnsi="Verdana" w:cs="Verdana" w:eastAsia="Verdana"/>
          <w:b w:val="0"/>
          <w:color w:val="1A1A1A"/>
          <w:sz w:val="19"/>
        </w:rPr>
        <w:t>Собирает и оптимизирует продуктовый портфель группы; формирует комплексные предложения из портфеля ГК для работы с клиентом.</w:t>
      </w:r>
    </w:p>
    <w:p>
      <w:pPr>
        <w:pStyle w:val="ListBullet"/>
        <w:spacing w:before="0" w:after="40" w:line="276" w:lineRule="auto"/>
      </w:pPr>
      <w:r>
        <w:rPr>
          <w:rFonts w:ascii="Verdana" w:hAnsi="Verdana" w:cs="Verdana" w:eastAsia="Verdana"/>
          <w:b w:val="0"/>
          <w:color w:val="1A1A1A"/>
          <w:sz w:val="19"/>
        </w:rPr>
        <w:t>Участвует в подготовке маркетинговых материалов и отслеживает новости сегмента, влияющие на продукт и оффер.</w:t>
      </w:r>
    </w:p>
    <w:p>
      <w:pPr>
        <w:spacing w:before="160" w:after="80" w:line="276" w:lineRule="auto"/>
      </w:pPr>
      <w:r>
        <w:rPr>
          <w:rFonts w:ascii="Verdana" w:hAnsi="Verdana" w:cs="Verdana" w:eastAsia="Verdana"/>
          <w:b/>
          <w:color w:val="1A1A1A"/>
          <w:sz w:val="21"/>
        </w:rPr>
        <w:t>3.2. Анализ рынка, конкурентов и маркетинговых гипотез</w:t>
      </w:r>
    </w:p>
    <w:p>
      <w:pPr>
        <w:pStyle w:val="ListBullet"/>
        <w:spacing w:before="0" w:after="40" w:line="276" w:lineRule="auto"/>
      </w:pPr>
      <w:r>
        <w:rPr>
          <w:rFonts w:ascii="Verdana" w:hAnsi="Verdana" w:cs="Verdana" w:eastAsia="Verdana"/>
          <w:b w:val="0"/>
          <w:color w:val="1A1A1A"/>
          <w:sz w:val="19"/>
        </w:rPr>
        <w:t>Анализирует конкурентную среду, формирует карту входа продукта на рынок и использует выводы для КП и скриптов.</w:t>
      </w:r>
    </w:p>
    <w:p>
      <w:pPr>
        <w:pStyle w:val="ListBullet"/>
        <w:spacing w:before="0" w:after="40" w:line="276" w:lineRule="auto"/>
      </w:pPr>
      <w:r>
        <w:rPr>
          <w:rFonts w:ascii="Verdana" w:hAnsi="Verdana" w:cs="Verdana" w:eastAsia="Verdana"/>
          <w:b w:val="0"/>
          <w:color w:val="1A1A1A"/>
          <w:sz w:val="19"/>
        </w:rPr>
        <w:t>Анализирует успешность маркетинговых стратегий и внедряет рабочие подходы на уровне команды.</w:t>
      </w:r>
    </w:p>
    <w:p>
      <w:pPr>
        <w:pStyle w:val="ListBullet"/>
        <w:spacing w:before="0" w:after="40" w:line="276" w:lineRule="auto"/>
      </w:pPr>
      <w:r>
        <w:rPr>
          <w:rFonts w:ascii="Verdana" w:hAnsi="Verdana" w:cs="Verdana" w:eastAsia="Verdana"/>
          <w:b w:val="0"/>
          <w:color w:val="1A1A1A"/>
          <w:sz w:val="19"/>
        </w:rPr>
        <w:t>Организует сбор и интерпретацию обратной связи с рынка для корректировки гипотез, оффера и продуктовых решений.</w:t>
      </w:r>
    </w:p>
    <w:p>
      <w:pPr>
        <w:spacing w:before="160" w:after="80" w:line="276" w:lineRule="auto"/>
      </w:pPr>
      <w:r>
        <w:rPr>
          <w:rFonts w:ascii="Verdana" w:hAnsi="Verdana" w:cs="Verdana" w:eastAsia="Verdana"/>
          <w:b/>
          <w:color w:val="1A1A1A"/>
          <w:sz w:val="21"/>
        </w:rPr>
        <w:t>3.3. Взаимодействие со смежными отделами</w:t>
      </w:r>
    </w:p>
    <w:p>
      <w:pPr>
        <w:pStyle w:val="ListBullet"/>
        <w:spacing w:before="0" w:after="40" w:line="276" w:lineRule="auto"/>
      </w:pPr>
      <w:r>
        <w:rPr>
          <w:rFonts w:ascii="Verdana" w:hAnsi="Verdana" w:cs="Verdana" w:eastAsia="Verdana"/>
          <w:b w:val="0"/>
          <w:color w:val="1A1A1A"/>
          <w:sz w:val="19"/>
        </w:rPr>
        <w:t>Выстраивает и формализует процессы взаимодействия со смежными подразделениями: маркетинг, финансовая аналитика, продуктовая разработка / ЦРП, поддержка и другие связанные функции.</w:t>
      </w:r>
    </w:p>
    <w:p>
      <w:pPr>
        <w:pStyle w:val="ListBullet"/>
        <w:spacing w:before="0" w:after="40" w:line="276" w:lineRule="auto"/>
      </w:pPr>
      <w:r>
        <w:rPr>
          <w:rFonts w:ascii="Verdana" w:hAnsi="Verdana" w:cs="Verdana" w:eastAsia="Verdana"/>
          <w:b w:val="0"/>
          <w:color w:val="1A1A1A"/>
          <w:sz w:val="19"/>
        </w:rPr>
        <w:t>Определяет и поддерживает актуальные регламенты взаимодействия МПП со смежными отделами.</w:t>
      </w:r>
    </w:p>
    <w:p>
      <w:pPr>
        <w:pStyle w:val="ListBullet"/>
        <w:spacing w:before="0" w:after="40" w:line="276" w:lineRule="auto"/>
      </w:pPr>
      <w:r>
        <w:rPr>
          <w:rFonts w:ascii="Verdana" w:hAnsi="Verdana" w:cs="Verdana" w:eastAsia="Verdana"/>
          <w:b w:val="0"/>
          <w:color w:val="1A1A1A"/>
          <w:sz w:val="19"/>
        </w:rPr>
        <w:t>Согласовывает изменения процессов внутри группы и на стыке с другими подразделениями.</w:t>
      </w:r>
    </w:p>
    <w:p>
      <w:pPr>
        <w:pStyle w:val="ListBullet"/>
        <w:spacing w:before="0" w:after="40" w:line="276" w:lineRule="auto"/>
      </w:pPr>
      <w:r>
        <w:rPr>
          <w:rFonts w:ascii="Verdana" w:hAnsi="Verdana" w:cs="Verdana" w:eastAsia="Verdana"/>
          <w:b w:val="0"/>
          <w:color w:val="1A1A1A"/>
          <w:sz w:val="19"/>
        </w:rPr>
        <w:t>Обеспечивает своевременный обмен информацией по гипотезам, рекламным активностям, ограничениям продукта и статусам запусков.</w:t>
      </w:r>
    </w:p>
    <w:p>
      <w:pPr>
        <w:pStyle w:val="ListBullet"/>
        <w:spacing w:before="0" w:after="40" w:line="276" w:lineRule="auto"/>
      </w:pPr>
      <w:r>
        <w:rPr>
          <w:rFonts w:ascii="Verdana" w:hAnsi="Verdana" w:cs="Verdana" w:eastAsia="Verdana"/>
          <w:b w:val="0"/>
          <w:color w:val="1A1A1A"/>
          <w:sz w:val="19"/>
        </w:rPr>
        <w:t>Участвует в развитии партнёрской / агентской сети совместно с ЦРП по закреплённым продуктам.</w:t>
      </w:r>
    </w:p>
    <w:p>
      <w:pPr>
        <w:spacing w:before="160" w:after="80" w:line="276" w:lineRule="auto"/>
      </w:pPr>
      <w:r>
        <w:rPr>
          <w:rFonts w:ascii="Verdana" w:hAnsi="Verdana" w:cs="Verdana" w:eastAsia="Verdana"/>
          <w:b/>
          <w:color w:val="1A1A1A"/>
          <w:sz w:val="21"/>
        </w:rPr>
        <w:t>3.4. Управление командой МПП: контроль, обучение и развитие</w:t>
      </w:r>
    </w:p>
    <w:p>
      <w:pPr>
        <w:pStyle w:val="ListBullet"/>
        <w:spacing w:before="0" w:after="40" w:line="276" w:lineRule="auto"/>
      </w:pPr>
      <w:r>
        <w:rPr>
          <w:rFonts w:ascii="Verdana" w:hAnsi="Verdana" w:cs="Verdana" w:eastAsia="Verdana"/>
          <w:b w:val="0"/>
          <w:color w:val="1A1A1A"/>
          <w:sz w:val="19"/>
        </w:rPr>
        <w:t>Внедряет и контролирует стандарты продаж в команде (скрипты холодной / тёплой / горячей базы, качество диалога, фиксация в CRM).</w:t>
      </w:r>
    </w:p>
    <w:p>
      <w:pPr>
        <w:pStyle w:val="ListBullet"/>
        <w:spacing w:before="0" w:after="40" w:line="276" w:lineRule="auto"/>
      </w:pPr>
      <w:r>
        <w:rPr>
          <w:rFonts w:ascii="Verdana" w:hAnsi="Verdana" w:cs="Verdana" w:eastAsia="Verdana"/>
          <w:b w:val="0"/>
          <w:color w:val="1A1A1A"/>
          <w:sz w:val="19"/>
        </w:rPr>
        <w:t>Обучает МПП: готовит и актуализирует обучающие материалы по новым продуктам, проводит разборы, наставничество и практику.</w:t>
      </w:r>
    </w:p>
    <w:p>
      <w:pPr>
        <w:pStyle w:val="ListBullet"/>
        <w:spacing w:before="0" w:after="40" w:line="276" w:lineRule="auto"/>
      </w:pPr>
      <w:r>
        <w:rPr>
          <w:rFonts w:ascii="Verdana" w:hAnsi="Verdana" w:cs="Verdana" w:eastAsia="Verdana"/>
          <w:b w:val="0"/>
          <w:color w:val="1A1A1A"/>
          <w:sz w:val="19"/>
        </w:rPr>
        <w:t>Контролирует работу МПП по качеству и результативности: аналитика, дашборды, правила заполнения карточек, соблюдение процессов.</w:t>
      </w:r>
    </w:p>
    <w:p>
      <w:pPr>
        <w:pStyle w:val="ListBullet"/>
        <w:spacing w:before="0" w:after="40" w:line="276" w:lineRule="auto"/>
      </w:pPr>
      <w:r>
        <w:rPr>
          <w:rFonts w:ascii="Verdana" w:hAnsi="Verdana" w:cs="Verdana" w:eastAsia="Verdana"/>
          <w:b w:val="0"/>
          <w:color w:val="1A1A1A"/>
          <w:sz w:val="19"/>
        </w:rPr>
        <w:t>Проводит оценочные и мотивационные интервью, выявляет зоны роста и формирует индивидуальные планы развития.</w:t>
      </w:r>
    </w:p>
    <w:p>
      <w:pPr>
        <w:pStyle w:val="ListBullet"/>
        <w:spacing w:before="0" w:after="40" w:line="276" w:lineRule="auto"/>
      </w:pPr>
      <w:r>
        <w:rPr>
          <w:rFonts w:ascii="Verdana" w:hAnsi="Verdana" w:cs="Verdana" w:eastAsia="Verdana"/>
          <w:b w:val="0"/>
          <w:color w:val="1A1A1A"/>
          <w:sz w:val="19"/>
        </w:rPr>
        <w:t>Отвечает за мотивацию команды и поддержание рабочего ритма при запусках и работе с холодной базой.</w:t>
      </w:r>
    </w:p>
    <w:p>
      <w:pPr>
        <w:pStyle w:val="ListBullet"/>
        <w:spacing w:before="0" w:after="40" w:line="276" w:lineRule="auto"/>
      </w:pPr>
      <w:r>
        <w:rPr>
          <w:rFonts w:ascii="Verdana" w:hAnsi="Verdana" w:cs="Verdana" w:eastAsia="Verdana"/>
          <w:b w:val="0"/>
          <w:color w:val="1A1A1A"/>
          <w:sz w:val="19"/>
        </w:rPr>
        <w:t>Участвует в формировании команды и подборе сотрудников в группу.</w:t>
      </w:r>
    </w:p>
    <w:p>
      <w:pPr>
        <w:pStyle w:val="ListBullet"/>
        <w:spacing w:before="0" w:after="40" w:line="276" w:lineRule="auto"/>
      </w:pPr>
      <w:r>
        <w:rPr>
          <w:rFonts w:ascii="Verdana" w:hAnsi="Verdana" w:cs="Verdana" w:eastAsia="Verdana"/>
          <w:b w:val="0"/>
          <w:color w:val="1A1A1A"/>
          <w:sz w:val="19"/>
        </w:rPr>
        <w:t>Оптимизирует рабочие процессы группы и обеспечивает прозрачность ролей, зон ответственности и правил эскалации.</w:t>
      </w:r>
    </w:p>
    <w:p>
      <w:pPr>
        <w:spacing w:before="160" w:after="80" w:line="276" w:lineRule="auto"/>
      </w:pPr>
      <w:r>
        <w:rPr>
          <w:rFonts w:ascii="Verdana" w:hAnsi="Verdana" w:cs="Verdana" w:eastAsia="Verdana"/>
          <w:b/>
          <w:color w:val="1A1A1A"/>
          <w:sz w:val="21"/>
        </w:rPr>
        <w:t>3.5. Операционный и финансовый контроль</w:t>
      </w:r>
    </w:p>
    <w:p>
      <w:pPr>
        <w:pStyle w:val="ListBullet"/>
        <w:spacing w:before="0" w:after="40" w:line="276" w:lineRule="auto"/>
      </w:pPr>
      <w:r>
        <w:rPr>
          <w:rFonts w:ascii="Verdana" w:hAnsi="Verdana" w:cs="Verdana" w:eastAsia="Verdana"/>
          <w:b w:val="0"/>
          <w:color w:val="1A1A1A"/>
          <w:sz w:val="19"/>
        </w:rPr>
        <w:t>Контролирует выполнение плана продаж команды для проверки продуктовых и коммерческих гипотез.</w:t>
      </w:r>
    </w:p>
    <w:p>
      <w:pPr>
        <w:pStyle w:val="ListBullet"/>
        <w:spacing w:before="0" w:after="40" w:line="276" w:lineRule="auto"/>
      </w:pPr>
      <w:r>
        <w:rPr>
          <w:rFonts w:ascii="Verdana" w:hAnsi="Verdana" w:cs="Verdana" w:eastAsia="Verdana"/>
          <w:b w:val="0"/>
          <w:color w:val="1A1A1A"/>
          <w:sz w:val="19"/>
        </w:rPr>
        <w:t>Контролирует финансовые показатели группы и качество клиентского сервиса.</w:t>
      </w:r>
    </w:p>
    <w:p>
      <w:pPr>
        <w:pStyle w:val="ListBullet"/>
        <w:spacing w:before="0" w:after="40" w:line="276" w:lineRule="auto"/>
      </w:pPr>
      <w:r>
        <w:rPr>
          <w:rFonts w:ascii="Verdana" w:hAnsi="Verdana" w:cs="Verdana" w:eastAsia="Verdana"/>
          <w:b w:val="0"/>
          <w:color w:val="1A1A1A"/>
          <w:sz w:val="19"/>
        </w:rPr>
        <w:t>Планирует бюджет направления / группы, формирует финпланы по проектам, участвует в сборе данных для кросс-распределения.</w:t>
      </w:r>
    </w:p>
    <w:p>
      <w:pPr>
        <w:pStyle w:val="ListBullet"/>
        <w:spacing w:before="0" w:after="40" w:line="276" w:lineRule="auto"/>
      </w:pPr>
      <w:r>
        <w:rPr>
          <w:rFonts w:ascii="Verdana" w:hAnsi="Verdana" w:cs="Verdana" w:eastAsia="Verdana"/>
          <w:b w:val="0"/>
          <w:color w:val="1A1A1A"/>
          <w:sz w:val="19"/>
        </w:rPr>
        <w:t>Согласовывает рекламные бюджеты, связанные с запусками продуктов группы.</w:t>
      </w:r>
    </w:p>
    <w:p>
      <w:pPr>
        <w:pStyle w:val="ListBullet"/>
        <w:spacing w:before="0" w:after="40" w:line="276" w:lineRule="auto"/>
      </w:pPr>
      <w:r>
        <w:rPr>
          <w:rFonts w:ascii="Verdana" w:hAnsi="Verdana" w:cs="Verdana" w:eastAsia="Verdana"/>
          <w:b w:val="0"/>
          <w:color w:val="1A1A1A"/>
          <w:sz w:val="19"/>
        </w:rPr>
        <w:t>Утверждает KPI группы и обеспечивает понятность метрик для команды.</w:t>
      </w:r>
    </w:p>
    <w:p>
      <w:pPr>
        <w:pStyle w:val="ListBullet"/>
        <w:spacing w:before="0" w:after="40" w:line="276" w:lineRule="auto"/>
      </w:pPr>
      <w:r>
        <w:rPr>
          <w:rFonts w:ascii="Verdana" w:hAnsi="Verdana" w:cs="Verdana" w:eastAsia="Verdana"/>
          <w:b w:val="0"/>
          <w:color w:val="1A1A1A"/>
          <w:sz w:val="19"/>
        </w:rPr>
        <w:t>Участвует в расчёте заработной платы / мотивации группы в рамках установленных правил.</w:t>
      </w:r>
    </w:p>
    <w:p>
      <w:pPr>
        <w:spacing w:before="160" w:after="80" w:line="276" w:lineRule="auto"/>
      </w:pPr>
      <w:r>
        <w:rPr>
          <w:rFonts w:ascii="Verdana" w:hAnsi="Verdana" w:cs="Verdana" w:eastAsia="Verdana"/>
          <w:b/>
          <w:color w:val="1A1A1A"/>
          <w:sz w:val="21"/>
        </w:rPr>
        <w:t>3.6. Собственное развитие</w:t>
      </w:r>
    </w:p>
    <w:p>
      <w:pPr>
        <w:pStyle w:val="ListBullet"/>
        <w:spacing w:before="0" w:after="40" w:line="276" w:lineRule="auto"/>
      </w:pPr>
      <w:r>
        <w:rPr>
          <w:rFonts w:ascii="Verdana" w:hAnsi="Verdana" w:cs="Verdana" w:eastAsia="Verdana"/>
          <w:b w:val="0"/>
          <w:color w:val="1A1A1A"/>
          <w:sz w:val="19"/>
        </w:rPr>
        <w:t>Развивает управленческие и продуктовые компетенции: обучение 1С, программы Корпоративного университета, управленческая литература и практика.</w:t>
      </w:r>
    </w:p>
    <w:p>
      <w:pPr>
        <w:pStyle w:val="ListBullet"/>
        <w:spacing w:before="0" w:after="40" w:line="276" w:lineRule="auto"/>
      </w:pPr>
      <w:r>
        <w:rPr>
          <w:rFonts w:ascii="Verdana" w:hAnsi="Verdana" w:cs="Verdana" w:eastAsia="Verdana"/>
          <w:b w:val="0"/>
          <w:color w:val="1A1A1A"/>
          <w:sz w:val="19"/>
        </w:rPr>
        <w:t>Систематизирует лучшие практики запусков и передаёт их команде.</w:t>
      </w:r>
    </w:p>
    <w:p>
      <w:pPr>
        <w:spacing w:before="240" w:after="120" w:line="276" w:lineRule="auto"/>
        <w:pBdr>
          <w:bottom w:val="single" w:sz="16" w:space="1" w:color="26A6E0"/>
        </w:pBdr>
      </w:pPr>
      <w:r>
        <w:rPr>
          <w:rFonts w:ascii="Verdana" w:hAnsi="Verdana" w:cs="Verdana" w:eastAsia="Verdana"/>
          <w:b/>
          <w:color w:val="1A1A1A"/>
          <w:sz w:val="24"/>
        </w:rPr>
        <w:t>4. Требования к компетенциям</w:t>
      </w:r>
    </w:p>
    <w:tbl>
      <w:tblPr>
        <w:tblLook w:firstColumn="1" w:firstRow="1" w:lastColumn="0" w:lastRow="0" w:noHBand="0" w:noVBand="1" w:val="04A0"/>
        <w:tblW w:w="5000" w:type="pct"/>
      </w:tblPr>
      <w:tblGrid>
        <w:gridCol w:w="4933"/>
        <w:gridCol w:w="4933"/>
      </w:tblGrid>
      <w:tr>
        <w:tc>
          <w:tcPr>
            <w:tcW w:type="dxa" w:w="5102"/>
            <w:shd w:val="clear" w:color="auto" w:fill="FCCD68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Verdana" w:hAnsi="Verdana" w:cs="Verdana" w:eastAsia="Verdana"/>
                <w:b/>
                <w:color w:val="1A1A1A"/>
                <w:sz w:val="18"/>
              </w:rPr>
              <w:t>Блок компетенций</w:t>
            </w:r>
          </w:p>
        </w:tc>
        <w:tc>
          <w:tcPr>
            <w:tcW w:type="dxa" w:w="4819"/>
            <w:shd w:val="clear" w:color="auto" w:fill="FCCD68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Verdana" w:hAnsi="Verdana" w:cs="Verdana" w:eastAsia="Verdana"/>
                <w:b/>
                <w:color w:val="1A1A1A"/>
                <w:sz w:val="18"/>
              </w:rPr>
              <w:t>Ожидаемый уровень</w:t>
            </w:r>
          </w:p>
        </w:tc>
      </w:tr>
      <w:tr>
        <w:tc>
          <w:tcPr>
            <w:tcW w:type="dxa" w:w="5102"/>
            <w:shd w:val="clear" w:color="auto"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Verdana" w:hAnsi="Verdana" w:cs="Verdana" w:eastAsia="Verdana"/>
                <w:b w:val="0"/>
                <w:color w:val="1A1A1A"/>
                <w:sz w:val="17"/>
              </w:rPr>
              <w:t>Продуктовая разработка и адаптация продукта под сегмент</w:t>
            </w:r>
          </w:p>
        </w:tc>
        <w:tc>
          <w:tcPr>
            <w:tcW w:type="dxa" w:w="4819"/>
            <w:shd w:val="clear" w:color="auto"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Verdana" w:hAnsi="Verdana" w:cs="Verdana" w:eastAsia="Verdana"/>
                <w:b w:val="0"/>
                <w:color w:val="1A1A1A"/>
                <w:sz w:val="17"/>
              </w:rPr>
              <w:t>Уверенное владение: гипотезы, ценность, ограничения, КП</w:t>
            </w:r>
          </w:p>
        </w:tc>
      </w:tr>
      <w:tr>
        <w:tc>
          <w:tcPr>
            <w:tcW w:type="dxa" w:w="5102"/>
            <w:shd w:val="clear" w:color="auto" w:fill="FFF8E8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Verdana" w:hAnsi="Verdana" w:cs="Verdana" w:eastAsia="Verdana"/>
                <w:b w:val="0"/>
                <w:color w:val="1A1A1A"/>
                <w:sz w:val="17"/>
              </w:rPr>
              <w:t>Позиционирование и сборка портфельных предложений</w:t>
            </w:r>
          </w:p>
        </w:tc>
        <w:tc>
          <w:tcPr>
            <w:tcW w:type="dxa" w:w="4819"/>
            <w:shd w:val="clear" w:color="auto" w:fill="FFF8E8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Verdana" w:hAnsi="Verdana" w:cs="Verdana" w:eastAsia="Verdana"/>
                <w:b w:val="0"/>
                <w:color w:val="1A1A1A"/>
                <w:sz w:val="17"/>
              </w:rPr>
              <w:t>Самостоятельно формирует и актуализирует материалы</w:t>
            </w:r>
          </w:p>
        </w:tc>
      </w:tr>
      <w:tr>
        <w:tc>
          <w:tcPr>
            <w:tcW w:type="dxa" w:w="5102"/>
            <w:shd w:val="clear" w:color="auto"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Verdana" w:hAnsi="Verdana" w:cs="Verdana" w:eastAsia="Verdana"/>
                <w:b w:val="0"/>
                <w:color w:val="1A1A1A"/>
                <w:sz w:val="17"/>
              </w:rPr>
              <w:t>Анализ конкурентов и маркетинговых гипотез</w:t>
            </w:r>
          </w:p>
        </w:tc>
        <w:tc>
          <w:tcPr>
            <w:tcW w:type="dxa" w:w="4819"/>
            <w:shd w:val="clear" w:color="auto"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Verdana" w:hAnsi="Verdana" w:cs="Verdana" w:eastAsia="Verdana"/>
                <w:b w:val="0"/>
                <w:color w:val="1A1A1A"/>
                <w:sz w:val="17"/>
              </w:rPr>
              <w:t>Применяет выводы в продажах и запусках</w:t>
            </w:r>
          </w:p>
        </w:tc>
      </w:tr>
      <w:tr>
        <w:tc>
          <w:tcPr>
            <w:tcW w:type="dxa" w:w="5102"/>
            <w:shd w:val="clear" w:color="auto" w:fill="FFF8E8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Verdana" w:hAnsi="Verdana" w:cs="Verdana" w:eastAsia="Verdana"/>
                <w:b w:val="0"/>
                <w:color w:val="1A1A1A"/>
                <w:sz w:val="17"/>
              </w:rPr>
              <w:t>Взаимодействие со смежными отделами и регламентация стыков</w:t>
            </w:r>
          </w:p>
        </w:tc>
        <w:tc>
          <w:tcPr>
            <w:tcW w:type="dxa" w:w="4819"/>
            <w:shd w:val="clear" w:color="auto" w:fill="FFF8E8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Verdana" w:hAnsi="Verdana" w:cs="Verdana" w:eastAsia="Verdana"/>
                <w:b w:val="0"/>
                <w:color w:val="1A1A1A"/>
                <w:sz w:val="17"/>
              </w:rPr>
              <w:t>Выстраивает понятные процессы без потерь на передаче</w:t>
            </w:r>
          </w:p>
        </w:tc>
      </w:tr>
      <w:tr>
        <w:tc>
          <w:tcPr>
            <w:tcW w:type="dxa" w:w="5102"/>
            <w:shd w:val="clear" w:color="auto"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Verdana" w:hAnsi="Verdana" w:cs="Verdana" w:eastAsia="Verdana"/>
                <w:b w:val="0"/>
                <w:color w:val="1A1A1A"/>
                <w:sz w:val="17"/>
              </w:rPr>
              <w:t>Контроль МПП: стандарты, CRM, качество, план</w:t>
            </w:r>
          </w:p>
        </w:tc>
        <w:tc>
          <w:tcPr>
            <w:tcW w:type="dxa" w:w="4819"/>
            <w:shd w:val="clear" w:color="auto"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Verdana" w:hAnsi="Verdana" w:cs="Verdana" w:eastAsia="Verdana"/>
                <w:b w:val="0"/>
                <w:color w:val="1A1A1A"/>
                <w:sz w:val="17"/>
              </w:rPr>
              <w:t>Системный контроль через аналитику и регулярные разборы</w:t>
            </w:r>
          </w:p>
        </w:tc>
      </w:tr>
      <w:tr>
        <w:tc>
          <w:tcPr>
            <w:tcW w:type="dxa" w:w="5102"/>
            <w:shd w:val="clear" w:color="auto" w:fill="FFF8E8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Verdana" w:hAnsi="Verdana" w:cs="Verdana" w:eastAsia="Verdana"/>
                <w:b w:val="0"/>
                <w:color w:val="1A1A1A"/>
                <w:sz w:val="17"/>
              </w:rPr>
              <w:t>Обучение и развитие МПП по новым продуктам</w:t>
            </w:r>
          </w:p>
        </w:tc>
        <w:tc>
          <w:tcPr>
            <w:tcW w:type="dxa" w:w="4819"/>
            <w:shd w:val="clear" w:color="auto" w:fill="FFF8E8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Verdana" w:hAnsi="Verdana" w:cs="Verdana" w:eastAsia="Verdana"/>
                <w:b w:val="0"/>
                <w:color w:val="1A1A1A"/>
                <w:sz w:val="17"/>
              </w:rPr>
              <w:t>Готовит материалы, проводит обучение, закрепляет навык</w:t>
            </w:r>
          </w:p>
        </w:tc>
      </w:tr>
      <w:tr>
        <w:tc>
          <w:tcPr>
            <w:tcW w:type="dxa" w:w="5102"/>
            <w:shd w:val="clear" w:color="auto"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Verdana" w:hAnsi="Verdana" w:cs="Verdana" w:eastAsia="Verdana"/>
                <w:b w:val="0"/>
                <w:color w:val="1A1A1A"/>
                <w:sz w:val="17"/>
              </w:rPr>
              <w:t>Мотивация команды и кадровые решения</w:t>
            </w:r>
          </w:p>
        </w:tc>
        <w:tc>
          <w:tcPr>
            <w:tcW w:type="dxa" w:w="4819"/>
            <w:shd w:val="clear" w:color="auto"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Verdana" w:hAnsi="Verdana" w:cs="Verdana" w:eastAsia="Verdana"/>
                <w:b w:val="0"/>
                <w:color w:val="1A1A1A"/>
                <w:sz w:val="17"/>
              </w:rPr>
              <w:t>Поддерживает результат и вовлечённость команды</w:t>
            </w:r>
          </w:p>
        </w:tc>
      </w:tr>
      <w:tr>
        <w:tc>
          <w:tcPr>
            <w:tcW w:type="dxa" w:w="5102"/>
            <w:shd w:val="clear" w:color="auto" w:fill="FFF8E8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Verdana" w:hAnsi="Verdana" w:cs="Verdana" w:eastAsia="Verdana"/>
                <w:b w:val="0"/>
                <w:color w:val="1A1A1A"/>
                <w:sz w:val="17"/>
              </w:rPr>
              <w:t>Финансовое планирование, KPI и бюджетирование группы</w:t>
            </w:r>
          </w:p>
        </w:tc>
        <w:tc>
          <w:tcPr>
            <w:tcW w:type="dxa" w:w="4819"/>
            <w:shd w:val="clear" w:color="auto" w:fill="FFF8E8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Verdana" w:hAnsi="Verdana" w:cs="Verdana" w:eastAsia="Verdana"/>
                <w:b w:val="0"/>
                <w:color w:val="1A1A1A"/>
                <w:sz w:val="17"/>
              </w:rPr>
              <w:t>Планирует, контролирует и объясняет показатели команде</w:t>
            </w:r>
          </w:p>
        </w:tc>
      </w:tr>
      <w:tr>
        <w:tc>
          <w:tcPr>
            <w:tcW w:type="dxa" w:w="5102"/>
            <w:shd w:val="clear" w:color="auto"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Verdana" w:hAnsi="Verdana" w:cs="Verdana" w:eastAsia="Verdana"/>
                <w:b w:val="0"/>
                <w:color w:val="1A1A1A"/>
                <w:sz w:val="17"/>
              </w:rPr>
              <w:t>Управленческое саморазвитие</w:t>
            </w:r>
          </w:p>
        </w:tc>
        <w:tc>
          <w:tcPr>
            <w:tcW w:type="dxa" w:w="4819"/>
            <w:shd w:val="clear" w:color="auto"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Verdana" w:hAnsi="Verdana" w:cs="Verdana" w:eastAsia="Verdana"/>
                <w:b w:val="0"/>
                <w:color w:val="1A1A1A"/>
                <w:sz w:val="17"/>
              </w:rPr>
              <w:t>Регулярно усиливает управленческую и продуктовую экспертизу</w:t>
            </w:r>
          </w:p>
        </w:tc>
      </w:tr>
    </w:tbl>
    <w:p>
      <w:pPr>
        <w:spacing w:before="240" w:after="120" w:line="276" w:lineRule="auto"/>
        <w:pBdr>
          <w:bottom w:val="single" w:sz="16" w:space="1" w:color="26A6E0"/>
        </w:pBdr>
      </w:pPr>
      <w:r>
        <w:rPr>
          <w:rFonts w:ascii="Verdana" w:hAnsi="Verdana" w:cs="Verdana" w:eastAsia="Verdana"/>
          <w:b/>
          <w:color w:val="1A1A1A"/>
          <w:sz w:val="24"/>
        </w:rPr>
        <w:t>5. Права</w:t>
      </w:r>
    </w:p>
    <w:p>
      <w:pPr>
        <w:pStyle w:val="ListBullet"/>
        <w:spacing w:before="0" w:after="40" w:line="276" w:lineRule="auto"/>
      </w:pPr>
      <w:r>
        <w:rPr>
          <w:rFonts w:ascii="Verdana" w:hAnsi="Verdana" w:cs="Verdana" w:eastAsia="Verdana"/>
          <w:b w:val="0"/>
          <w:color w:val="1A1A1A"/>
          <w:sz w:val="19"/>
        </w:rPr>
        <w:t>Запрашивать у смежных подразделений информацию, необходимую для запусков, продаж и анализа гипотез.</w:t>
      </w:r>
    </w:p>
    <w:p>
      <w:pPr>
        <w:pStyle w:val="ListBullet"/>
        <w:spacing w:before="0" w:after="40" w:line="276" w:lineRule="auto"/>
      </w:pPr>
      <w:r>
        <w:rPr>
          <w:rFonts w:ascii="Verdana" w:hAnsi="Verdana" w:cs="Verdana" w:eastAsia="Verdana"/>
          <w:b w:val="0"/>
          <w:color w:val="1A1A1A"/>
          <w:sz w:val="19"/>
        </w:rPr>
        <w:t>Вносить предложения по изменению продукта, оффера, скриптов, процессов и KPI группы.</w:t>
      </w:r>
    </w:p>
    <w:p>
      <w:pPr>
        <w:pStyle w:val="ListBullet"/>
        <w:spacing w:before="0" w:after="40" w:line="276" w:lineRule="auto"/>
      </w:pPr>
      <w:r>
        <w:rPr>
          <w:rFonts w:ascii="Verdana" w:hAnsi="Verdana" w:cs="Verdana" w:eastAsia="Verdana"/>
          <w:b w:val="0"/>
          <w:color w:val="1A1A1A"/>
          <w:sz w:val="19"/>
        </w:rPr>
        <w:t>Распределять задачи внутри команды МПП и контролировать их исполнение.</w:t>
      </w:r>
    </w:p>
    <w:p>
      <w:pPr>
        <w:pStyle w:val="ListBullet"/>
        <w:spacing w:before="0" w:after="40" w:line="276" w:lineRule="auto"/>
      </w:pPr>
      <w:r>
        <w:rPr>
          <w:rFonts w:ascii="Verdana" w:hAnsi="Verdana" w:cs="Verdana" w:eastAsia="Verdana"/>
          <w:b w:val="0"/>
          <w:color w:val="1A1A1A"/>
          <w:sz w:val="19"/>
        </w:rPr>
        <w:t>Инициировать обучение, наставничество, оценку и кадровые решения в рамках полномочий.</w:t>
      </w:r>
    </w:p>
    <w:p>
      <w:pPr>
        <w:pStyle w:val="ListBullet"/>
        <w:spacing w:before="0" w:after="40" w:line="276" w:lineRule="auto"/>
      </w:pPr>
      <w:r>
        <w:rPr>
          <w:rFonts w:ascii="Verdana" w:hAnsi="Verdana" w:cs="Verdana" w:eastAsia="Verdana"/>
          <w:b w:val="0"/>
          <w:color w:val="1A1A1A"/>
          <w:sz w:val="19"/>
        </w:rPr>
        <w:t>Эскалировать риски по продукту, срокам, качеству исполнения и финансовым отклонениям.</w:t>
      </w:r>
    </w:p>
    <w:p>
      <w:pPr>
        <w:spacing w:before="240" w:after="120" w:line="276" w:lineRule="auto"/>
        <w:pBdr>
          <w:bottom w:val="single" w:sz="16" w:space="1" w:color="26A6E0"/>
        </w:pBdr>
      </w:pPr>
      <w:r>
        <w:rPr>
          <w:rFonts w:ascii="Verdana" w:hAnsi="Verdana" w:cs="Verdana" w:eastAsia="Verdana"/>
          <w:b/>
          <w:color w:val="1A1A1A"/>
          <w:sz w:val="24"/>
        </w:rPr>
        <w:t>6. Ответственность</w:t>
      </w:r>
    </w:p>
    <w:p>
      <w:pPr>
        <w:pStyle w:val="ListBullet"/>
        <w:spacing w:before="0" w:after="40" w:line="276" w:lineRule="auto"/>
      </w:pPr>
      <w:r>
        <w:rPr>
          <w:rFonts w:ascii="Verdana" w:hAnsi="Verdana" w:cs="Verdana" w:eastAsia="Verdana"/>
          <w:b w:val="0"/>
          <w:color w:val="1A1A1A"/>
          <w:sz w:val="19"/>
        </w:rPr>
        <w:t>За качество и своевременность выполнения функций, указанных в настоящей инструкции.</w:t>
      </w:r>
    </w:p>
    <w:p>
      <w:pPr>
        <w:pStyle w:val="ListBullet"/>
        <w:spacing w:before="0" w:after="40" w:line="276" w:lineRule="auto"/>
      </w:pPr>
      <w:r>
        <w:rPr>
          <w:rFonts w:ascii="Verdana" w:hAnsi="Verdana" w:cs="Verdana" w:eastAsia="Verdana"/>
          <w:b w:val="0"/>
          <w:color w:val="1A1A1A"/>
          <w:sz w:val="19"/>
        </w:rPr>
        <w:t>За соблюдение стандартов продаж, регламентов и корпоративных правил ГК Форус.</w:t>
      </w:r>
    </w:p>
    <w:p>
      <w:pPr>
        <w:pStyle w:val="ListBullet"/>
        <w:spacing w:before="0" w:after="40" w:line="276" w:lineRule="auto"/>
      </w:pPr>
      <w:r>
        <w:rPr>
          <w:rFonts w:ascii="Verdana" w:hAnsi="Verdana" w:cs="Verdana" w:eastAsia="Verdana"/>
          <w:b w:val="0"/>
          <w:color w:val="1A1A1A"/>
          <w:sz w:val="19"/>
        </w:rPr>
        <w:t>За достоверность управленческой и операционной отчётности группы.</w:t>
      </w:r>
    </w:p>
    <w:p>
      <w:pPr>
        <w:pStyle w:val="ListBullet"/>
        <w:spacing w:before="0" w:after="40" w:line="276" w:lineRule="auto"/>
      </w:pPr>
      <w:r>
        <w:rPr>
          <w:rFonts w:ascii="Verdana" w:hAnsi="Verdana" w:cs="Verdana" w:eastAsia="Verdana"/>
          <w:b w:val="0"/>
          <w:color w:val="1A1A1A"/>
          <w:sz w:val="19"/>
        </w:rPr>
        <w:t>За результат обучения и контроля МПП в части стандартов, скриптов и работы с продуктом.</w:t>
      </w:r>
    </w:p>
    <w:p>
      <w:pPr>
        <w:pStyle w:val="ListBullet"/>
        <w:spacing w:before="0" w:after="40" w:line="276" w:lineRule="auto"/>
      </w:pPr>
      <w:r>
        <w:rPr>
          <w:rFonts w:ascii="Verdana" w:hAnsi="Verdana" w:cs="Verdana" w:eastAsia="Verdana"/>
          <w:b w:val="0"/>
          <w:color w:val="1A1A1A"/>
          <w:sz w:val="19"/>
        </w:rPr>
        <w:t>За соблюдение конфиденциальности коммерческой и внутренней информации.</w:t>
      </w:r>
    </w:p>
    <w:p>
      <w:pPr>
        <w:spacing w:before="240" w:after="120" w:line="276" w:lineRule="auto"/>
        <w:pBdr>
          <w:bottom w:val="single" w:sz="16" w:space="1" w:color="26A6E0"/>
        </w:pBdr>
      </w:pPr>
      <w:r>
        <w:rPr>
          <w:rFonts w:ascii="Verdana" w:hAnsi="Verdana" w:cs="Verdana" w:eastAsia="Verdana"/>
          <w:b/>
          <w:color w:val="1A1A1A"/>
          <w:sz w:val="24"/>
        </w:rPr>
        <w:t>7. Взаимодействия</w:t>
      </w:r>
    </w:p>
    <w:tbl>
      <w:tblPr>
        <w:tblLook w:firstColumn="1" w:firstRow="1" w:lastColumn="0" w:lastRow="0" w:noHBand="0" w:noVBand="1" w:val="04A0"/>
        <w:tblW w:w="5000" w:type="pct"/>
      </w:tblPr>
      <w:tblGrid>
        <w:gridCol w:w="4933"/>
        <w:gridCol w:w="4933"/>
      </w:tblGrid>
      <w:tr>
        <w:tc>
          <w:tcPr>
            <w:tcW w:type="dxa" w:w="3402"/>
            <w:shd w:val="clear" w:color="auto" w:fill="FCCD68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Verdana" w:hAnsi="Verdana" w:cs="Verdana" w:eastAsia="Verdana"/>
                <w:b/>
                <w:color w:val="1A1A1A"/>
                <w:sz w:val="18"/>
              </w:rPr>
              <w:t>Контрагент</w:t>
            </w:r>
          </w:p>
        </w:tc>
        <w:tc>
          <w:tcPr>
            <w:tcW w:type="dxa" w:w="6520"/>
            <w:shd w:val="clear" w:color="auto" w:fill="FCCD68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Verdana" w:hAnsi="Verdana" w:cs="Verdana" w:eastAsia="Verdana"/>
                <w:b/>
                <w:color w:val="1A1A1A"/>
                <w:sz w:val="18"/>
              </w:rPr>
              <w:t>Предмет взаимодействия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Verdana" w:hAnsi="Verdana" w:cs="Verdana" w:eastAsia="Verdana"/>
                <w:b/>
                <w:color w:val="1A1A1A"/>
                <w:sz w:val="17"/>
              </w:rPr>
              <w:t>Руководитель направления</w:t>
            </w:r>
          </w:p>
        </w:tc>
        <w:tc>
          <w:tcPr>
            <w:tcW w:type="dxa" w:w="6520"/>
            <w:shd w:val="clear" w:color="auto"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Verdana" w:hAnsi="Verdana" w:cs="Verdana" w:eastAsia="Verdana"/>
                <w:b w:val="0"/>
                <w:color w:val="1A1A1A"/>
                <w:sz w:val="17"/>
              </w:rPr>
              <w:t>Цели, приоритеты запусков, KPI, эскалации, кадровые решения</w:t>
            </w:r>
          </w:p>
        </w:tc>
      </w:tr>
      <w:tr>
        <w:tc>
          <w:tcPr>
            <w:tcW w:type="dxa" w:w="3402"/>
            <w:shd w:val="clear" w:color="auto" w:fill="FFF8E8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Verdana" w:hAnsi="Verdana" w:cs="Verdana" w:eastAsia="Verdana"/>
                <w:b/>
                <w:color w:val="1A1A1A"/>
                <w:sz w:val="17"/>
              </w:rPr>
              <w:t>МПП группы</w:t>
            </w:r>
          </w:p>
        </w:tc>
        <w:tc>
          <w:tcPr>
            <w:tcW w:type="dxa" w:w="6520"/>
            <w:shd w:val="clear" w:color="auto" w:fill="FFF8E8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Verdana" w:hAnsi="Verdana" w:cs="Verdana" w:eastAsia="Verdana"/>
                <w:b w:val="0"/>
                <w:color w:val="1A1A1A"/>
                <w:sz w:val="17"/>
              </w:rPr>
              <w:t>Постановка задач, обучение, контроль качества, мотивация, разбор кейсов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Verdana" w:hAnsi="Verdana" w:cs="Verdana" w:eastAsia="Verdana"/>
                <w:b/>
                <w:color w:val="1A1A1A"/>
                <w:sz w:val="17"/>
              </w:rPr>
              <w:t>Маркетинг</w:t>
            </w:r>
          </w:p>
        </w:tc>
        <w:tc>
          <w:tcPr>
            <w:tcW w:type="dxa" w:w="6520"/>
            <w:shd w:val="clear" w:color="auto"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Verdana" w:hAnsi="Verdana" w:cs="Verdana" w:eastAsia="Verdana"/>
                <w:b w:val="0"/>
                <w:color w:val="1A1A1A"/>
                <w:sz w:val="17"/>
              </w:rPr>
              <w:t>Гипотезы, материалы, рекламные активности, сегментные кампании</w:t>
            </w:r>
          </w:p>
        </w:tc>
      </w:tr>
      <w:tr>
        <w:tc>
          <w:tcPr>
            <w:tcW w:type="dxa" w:w="3402"/>
            <w:shd w:val="clear" w:color="auto" w:fill="FFF8E8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Verdana" w:hAnsi="Verdana" w:cs="Verdana" w:eastAsia="Verdana"/>
                <w:b/>
                <w:color w:val="1A1A1A"/>
                <w:sz w:val="17"/>
              </w:rPr>
              <w:t>Продуктовая разработка / ЦРП</w:t>
            </w:r>
          </w:p>
        </w:tc>
        <w:tc>
          <w:tcPr>
            <w:tcW w:type="dxa" w:w="6520"/>
            <w:shd w:val="clear" w:color="auto" w:fill="FFF8E8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Verdana" w:hAnsi="Verdana" w:cs="Verdana" w:eastAsia="Verdana"/>
                <w:b w:val="0"/>
                <w:color w:val="1A1A1A"/>
                <w:sz w:val="17"/>
              </w:rPr>
              <w:t>Требования к продукту, ограничения, партнёрская сеть, доработки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Verdana" w:hAnsi="Verdana" w:cs="Verdana" w:eastAsia="Verdana"/>
                <w:b/>
                <w:color w:val="1A1A1A"/>
                <w:sz w:val="17"/>
              </w:rPr>
              <w:t>Финансовая аналитика</w:t>
            </w:r>
          </w:p>
        </w:tc>
        <w:tc>
          <w:tcPr>
            <w:tcW w:type="dxa" w:w="6520"/>
            <w:shd w:val="clear" w:color="auto"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Verdana" w:hAnsi="Verdana" w:cs="Verdana" w:eastAsia="Verdana"/>
                <w:b w:val="0"/>
                <w:color w:val="1A1A1A"/>
                <w:sz w:val="17"/>
              </w:rPr>
              <w:t>Финпланы, бюджеты, показатели, мотивация</w:t>
            </w:r>
          </w:p>
        </w:tc>
      </w:tr>
      <w:tr>
        <w:tc>
          <w:tcPr>
            <w:tcW w:type="dxa" w:w="3402"/>
            <w:shd w:val="clear" w:color="auto" w:fill="FFF8E8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Verdana" w:hAnsi="Verdana" w:cs="Verdana" w:eastAsia="Verdana"/>
                <w:b/>
                <w:color w:val="1A1A1A"/>
                <w:sz w:val="17"/>
              </w:rPr>
              <w:t>Смежные продажи / поддержка</w:t>
            </w:r>
          </w:p>
        </w:tc>
        <w:tc>
          <w:tcPr>
            <w:tcW w:type="dxa" w:w="6520"/>
            <w:shd w:val="clear" w:color="auto" w:fill="FFF8E8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Verdana" w:hAnsi="Verdana" w:cs="Verdana" w:eastAsia="Verdana"/>
                <w:b w:val="0"/>
                <w:color w:val="1A1A1A"/>
                <w:sz w:val="17"/>
              </w:rPr>
              <w:t>Передача клиентов, качество сервиса, стыковка процессов</w:t>
            </w:r>
          </w:p>
        </w:tc>
      </w:tr>
    </w:tbl>
    <w:p>
      <w:pPr>
        <w:spacing w:before="240" w:after="120" w:line="276" w:lineRule="auto"/>
        <w:pBdr>
          <w:bottom w:val="single" w:sz="16" w:space="1" w:color="26A6E0"/>
        </w:pBdr>
      </w:pPr>
      <w:r>
        <w:rPr>
          <w:rFonts w:ascii="Verdana" w:hAnsi="Verdana" w:cs="Verdana" w:eastAsia="Verdana"/>
          <w:b/>
          <w:color w:val="1A1A1A"/>
          <w:sz w:val="24"/>
        </w:rPr>
        <w:t>8. Результат работы (ключевые показатели)</w:t>
      </w:r>
    </w:p>
    <w:p>
      <w:pPr>
        <w:pStyle w:val="ListBullet"/>
        <w:spacing w:before="0" w:after="40" w:line="276" w:lineRule="auto"/>
      </w:pPr>
      <w:r>
        <w:rPr>
          <w:rFonts w:ascii="Verdana" w:hAnsi="Verdana" w:cs="Verdana" w:eastAsia="Verdana"/>
          <w:b w:val="0"/>
          <w:color w:val="1A1A1A"/>
          <w:sz w:val="19"/>
        </w:rPr>
        <w:t>Качество проверки продуктовых и коммерческих гипотез на рынке.</w:t>
      </w:r>
    </w:p>
    <w:p>
      <w:pPr>
        <w:pStyle w:val="ListBullet"/>
        <w:spacing w:before="0" w:after="40" w:line="276" w:lineRule="auto"/>
      </w:pPr>
      <w:r>
        <w:rPr>
          <w:rFonts w:ascii="Verdana" w:hAnsi="Verdana" w:cs="Verdana" w:eastAsia="Verdana"/>
          <w:b w:val="0"/>
          <w:color w:val="1A1A1A"/>
          <w:sz w:val="19"/>
        </w:rPr>
        <w:t>Выполнение плана продаж группы и динамика конверсий по этапам воронки.</w:t>
      </w:r>
    </w:p>
    <w:p>
      <w:pPr>
        <w:pStyle w:val="ListBullet"/>
        <w:spacing w:before="0" w:after="40" w:line="276" w:lineRule="auto"/>
      </w:pPr>
      <w:r>
        <w:rPr>
          <w:rFonts w:ascii="Verdana" w:hAnsi="Verdana" w:cs="Verdana" w:eastAsia="Verdana"/>
          <w:b w:val="0"/>
          <w:color w:val="1A1A1A"/>
          <w:sz w:val="19"/>
        </w:rPr>
        <w:t>Уровень соблюдения стандартов / скриптов МПП и качества ведения CRM.</w:t>
      </w:r>
    </w:p>
    <w:p>
      <w:pPr>
        <w:pStyle w:val="ListBullet"/>
        <w:spacing w:before="0" w:after="40" w:line="276" w:lineRule="auto"/>
      </w:pPr>
      <w:r>
        <w:rPr>
          <w:rFonts w:ascii="Verdana" w:hAnsi="Verdana" w:cs="Verdana" w:eastAsia="Verdana"/>
          <w:b w:val="0"/>
          <w:color w:val="1A1A1A"/>
          <w:sz w:val="19"/>
        </w:rPr>
        <w:t>Скорость и качество выхода команды на новый продукт после обучения.</w:t>
      </w:r>
    </w:p>
    <w:p>
      <w:pPr>
        <w:pStyle w:val="ListBullet"/>
        <w:spacing w:before="0" w:after="40" w:line="276" w:lineRule="auto"/>
      </w:pPr>
      <w:r>
        <w:rPr>
          <w:rFonts w:ascii="Verdana" w:hAnsi="Verdana" w:cs="Verdana" w:eastAsia="Verdana"/>
          <w:b w:val="0"/>
          <w:color w:val="1A1A1A"/>
          <w:sz w:val="19"/>
        </w:rPr>
        <w:t>Своевременность и прозрачность взаимодействия со смежными отделами.</w:t>
      </w:r>
    </w:p>
    <w:p>
      <w:pPr>
        <w:pStyle w:val="ListBullet"/>
        <w:spacing w:before="0" w:after="40" w:line="276" w:lineRule="auto"/>
      </w:pPr>
      <w:r>
        <w:rPr>
          <w:rFonts w:ascii="Verdana" w:hAnsi="Verdana" w:cs="Verdana" w:eastAsia="Verdana"/>
          <w:b w:val="0"/>
          <w:color w:val="1A1A1A"/>
          <w:sz w:val="19"/>
        </w:rPr>
        <w:t>Исполнение бюджета / KPI группы и управляемость финансовой мотивации.</w:t>
      </w:r>
    </w:p>
    <w:p>
      <w:pPr>
        <w:spacing w:before="240" w:after="120" w:line="276" w:lineRule="auto"/>
        <w:pBdr>
          <w:bottom w:val="single" w:sz="16" w:space="1" w:color="26A6E0"/>
        </w:pBdr>
      </w:pPr>
      <w:r>
        <w:rPr>
          <w:rFonts w:ascii="Verdana" w:hAnsi="Verdana" w:cs="Verdana" w:eastAsia="Verdana"/>
          <w:b/>
          <w:color w:val="1A1A1A"/>
          <w:sz w:val="24"/>
        </w:rPr>
        <w:t>9. Ознакомление</w:t>
      </w:r>
    </w:p>
    <w:tbl>
      <w:tblPr>
        <w:tblLook w:firstColumn="1" w:firstRow="1" w:lastColumn="0" w:lastRow="0" w:noHBand="0" w:noVBand="1" w:val="04A0"/>
        <w:tblW w:w="5000" w:type="pct"/>
      </w:tblPr>
      <w:tblGrid>
        <w:gridCol w:w="4933"/>
        <w:gridCol w:w="4933"/>
      </w:tblGrid>
      <w:tr>
        <w:tc>
          <w:tcPr>
            <w:tcW w:type="dxa" w:w="4961"/>
            <w:shd w:val="clear" w:color="auto"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Verdana" w:hAnsi="Verdana" w:cs="Verdana" w:eastAsia="Verdana"/>
                <w:b w:val="0"/>
                <w:color w:val="1A1A1A"/>
                <w:sz w:val="18"/>
              </w:rPr>
              <w:t>Инструкцию утвердил:</w:t>
              <w:br/>
              <w:br/>
              <w:t>________________ / ________________</w:t>
            </w:r>
          </w:p>
        </w:tc>
        <w:tc>
          <w:tcPr>
            <w:tcW w:type="dxa" w:w="4961"/>
            <w:shd w:val="clear" w:color="auto"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Verdana" w:hAnsi="Verdana" w:cs="Verdana" w:eastAsia="Verdana"/>
                <w:b w:val="0"/>
                <w:color w:val="1A1A1A"/>
                <w:sz w:val="18"/>
              </w:rPr>
              <w:t>С инструкцией ознакомлен(а):</w:t>
              <w:br/>
              <w:br/>
              <w:t>________________ / ________________</w:t>
            </w:r>
          </w:p>
        </w:tc>
      </w:tr>
      <w:tr>
        <w:tc>
          <w:tcPr>
            <w:tcW w:type="dxa" w:w="4961"/>
            <w:shd w:val="clear" w:color="auto"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Verdana" w:hAnsi="Verdana" w:cs="Verdana" w:eastAsia="Verdana"/>
                <w:b w:val="0"/>
                <w:color w:val="767677"/>
                <w:sz w:val="16"/>
              </w:rPr>
              <w:t>Должность: _______________________</w:t>
            </w:r>
          </w:p>
        </w:tc>
        <w:tc>
          <w:tcPr>
            <w:tcW w:type="dxa" w:w="4961"/>
            <w:shd w:val="clear" w:color="auto"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Verdana" w:hAnsi="Verdana" w:cs="Verdana" w:eastAsia="Verdana"/>
                <w:b w:val="0"/>
                <w:color w:val="767677"/>
                <w:sz w:val="16"/>
              </w:rPr>
              <w:t>Тимлид группы продуктового запуска</w:t>
            </w:r>
          </w:p>
        </w:tc>
      </w:tr>
      <w:tr>
        <w:tc>
          <w:tcPr>
            <w:tcW w:type="dxa" w:w="4961"/>
            <w:shd w:val="clear" w:color="auto"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Verdana" w:hAnsi="Verdana" w:cs="Verdana" w:eastAsia="Verdana"/>
                <w:b w:val="0"/>
                <w:color w:val="767677"/>
                <w:sz w:val="16"/>
              </w:rPr>
              <w:t>Дата: «____» ______________ 20____ г.</w:t>
            </w:r>
          </w:p>
        </w:tc>
        <w:tc>
          <w:tcPr>
            <w:tcW w:type="dxa" w:w="4961"/>
            <w:shd w:val="clear" w:color="auto"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Verdana" w:hAnsi="Verdana" w:cs="Verdana" w:eastAsia="Verdana"/>
                <w:b w:val="0"/>
                <w:color w:val="767677"/>
                <w:sz w:val="16"/>
              </w:rPr>
              <w:t>Дата: «____» ______________ 20____ г.</w:t>
            </w:r>
          </w:p>
        </w:tc>
      </w:tr>
    </w:tbl>
    <w:p>
      <w:pPr>
        <w:spacing w:before="280" w:after="0" w:line="276" w:lineRule="auto"/>
        <w:jc w:val="center"/>
      </w:pPr>
      <w:r>
        <w:rPr>
          <w:rFonts w:ascii="Verdana" w:hAnsi="Verdana" w:cs="Verdana" w:eastAsia="Verdana"/>
          <w:b w:val="0"/>
          <w:color w:val="767677"/>
          <w:sz w:val="14"/>
        </w:rPr>
        <w:t>© ГК Форус  ·  Внутренний документ  ·  Должностная инструкция тимлида группы продуктового запуска</w:t>
      </w:r>
    </w:p>
    <w:sectPr w:rsidR="00FC693F" w:rsidRPr="0006063C" w:rsidSect="00034616">
      <w:pgSz w:w="11906" w:h="16838"/>
      <w:pgMar w:top="794" w:right="1020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 w:eastAsia="Verdan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