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drawing>
                <wp:inline xmlns:a="http://schemas.openxmlformats.org/drawingml/2006/main" xmlns:pic="http://schemas.openxmlformats.org/drawingml/2006/picture">
                  <wp:extent cx="1116000" cy="5396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rus_logo_docx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6000" cy="539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59"/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/>
                <w:strike w:val="0"/>
                <w:color w:val="5C5C5C"/>
                <w:sz w:val="18"/>
              </w:rPr>
              <w:t>Группа компаний «Форус»</w:t>
            </w:r>
          </w:p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strike w:val="0"/>
                <w:color w:val="5C5C5C"/>
                <w:sz w:val="16"/>
              </w:rPr>
              <w:t>Центр компетенции по кадровому электронному документообороту</w:t>
            </w:r>
          </w:p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strike w:val="0"/>
                <w:color w:val="5C5C5C"/>
                <w:sz w:val="16"/>
              </w:rPr>
              <w:t>+7 (3952) 78-00-00  ·  www.forus.ru</w:t>
            </w:r>
          </w:p>
        </w:tc>
      </w:tr>
    </w:tbl>
    <w:p>
      <w:pPr>
        <w:spacing w:before="40" w:after="80"/>
        <w:pBdr>
          <w:bottom w:val="single" w:sz="28" w:space="1" w:color="F0C14A"/>
        </w:pBdr>
      </w:pPr>
    </w:p>
    <w:p>
      <w:pPr>
        <w:spacing w:after="20" w:before="0"/>
        <w:jc w:val="center"/>
      </w:pPr>
      <w:r>
        <w:rPr>
          <w:rFonts w:ascii="Arial" w:hAnsi="Arial" w:eastAsia="Arial"/>
          <w:b/>
          <w:strike w:val="0"/>
          <w:color w:val="2B2B2B"/>
          <w:sz w:val="28"/>
        </w:rPr>
        <w:t>1С:Кабинет сотрудника — 750 личных кабинетов</w:t>
      </w:r>
    </w:p>
    <w:p>
      <w:pPr>
        <w:spacing w:after="80" w:before="0"/>
        <w:jc w:val="center"/>
      </w:pPr>
      <w:r>
        <w:rPr>
          <w:rFonts w:ascii="Arial" w:hAnsi="Arial" w:eastAsia="Arial"/>
          <w:b w:val="0"/>
          <w:strike w:val="0"/>
          <w:color w:val="5C5C5C"/>
          <w:sz w:val="18"/>
        </w:rPr>
        <w:t>Персональное предложение · кадровый электронный документооборот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F0C14A"/>
          <w:left w:val="single" w:sz="12" w:space="0" w:color="F0C14A"/>
          <w:bottom w:val="single" w:sz="12" w:space="0" w:color="F0C14A"/>
          <w:right w:val="single" w:sz="12" w:space="0" w:color="F0C14A"/>
          <w:insideH w:val="single" w:sz="12" w:space="0" w:color="F0C14A"/>
          <w:insideV w:val="single" w:sz="12" w:space="0" w:color="F0C14A"/>
        </w:tblBorders>
      </w:tblPr>
      <w:tblGrid>
        <w:gridCol w:w="10318"/>
      </w:tblGrid>
      <w:tr>
        <w:tc>
          <w:tcPr>
            <w:tcW w:type="dxa" w:w="10318"/>
            <w:shd w:fill="FFF6D8" w:val="clea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>
              <w:rPr>
                <w:rFonts w:ascii="Arial" w:hAnsi="Arial" w:eastAsia="Arial"/>
                <w:b/>
                <w:strike w:val="0"/>
                <w:color w:val="2B2B2B"/>
                <w:sz w:val="20"/>
              </w:rPr>
              <w:t>Почему это предложение выгодно именно сейчас</w:t>
            </w:r>
          </w:p>
          <w:p>
            <w:pPr>
              <w:spacing w:after="20"/>
            </w:pPr>
            <w:r>
              <w:rPr>
                <w:rFonts w:ascii="Arial" w:hAnsi="Arial" w:eastAsia="Arial"/>
                <w:b w:val="0"/>
                <w:strike w:val="0"/>
                <w:color w:val="5C5C5C"/>
                <w:sz w:val="16"/>
              </w:rPr>
              <w:t>• Экономия до 70% времени кадровой службы и до 75% затрат на бумагу, печать и курьеров</w:t>
            </w:r>
          </w:p>
          <w:p>
            <w:pPr>
              <w:spacing w:after="20"/>
            </w:pPr>
            <w:r>
              <w:rPr>
                <w:rFonts w:ascii="Arial" w:hAnsi="Arial" w:eastAsia="Arial"/>
                <w:b w:val="0"/>
                <w:strike w:val="0"/>
                <w:color w:val="5C5C5C"/>
                <w:sz w:val="16"/>
              </w:rPr>
              <w:t>• Акция «Больше, чем кешбэк»: 5 часов линии консультаций в подарок (выгода 18 300 ₽)</w:t>
            </w:r>
          </w:p>
          <w:p>
            <w:pPr>
              <w:spacing w:after="20"/>
            </w:pPr>
            <w:r>
              <w:rPr>
                <w:rFonts w:ascii="Arial" w:hAnsi="Arial" w:eastAsia="Arial"/>
                <w:b w:val="0"/>
                <w:strike w:val="0"/>
                <w:color w:val="5C5C5C"/>
                <w:sz w:val="16"/>
              </w:rPr>
              <w:t>• Работа внутри привычной 1С — без отдельной HR-платформы и двойного ввода данных</w:t>
            </w:r>
          </w:p>
        </w:tc>
      </w:tr>
    </w:tbl>
    <w:p>
      <w:pPr>
        <w:spacing w:after="60"/>
      </w:pPr>
    </w:p>
    <w:p>
      <w:pPr>
        <w:spacing w:after="40" w:before="60"/>
        <w:pBdr>
          <w:bottom w:val="single" w:sz="22" w:space="2" w:color="F0C14A"/>
        </w:pBdr>
      </w:pPr>
      <w:r>
        <w:rPr>
          <w:rFonts w:ascii="Arial" w:hAnsi="Arial" w:eastAsia="Arial"/>
          <w:b/>
          <w:strike w:val="0"/>
          <w:color w:val="2B2B2B"/>
          <w:sz w:val="22"/>
        </w:rPr>
        <w:t>Что умеет 1С:Кабинет сотрудника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F0C14A"/>
          <w:left w:val="single" w:sz="8" w:space="0" w:color="F0C14A"/>
          <w:bottom w:val="single" w:sz="8" w:space="0" w:color="F0C14A"/>
          <w:right w:val="single" w:sz="8" w:space="0" w:color="F0C14A"/>
          <w:insideH w:val="single" w:sz="8" w:space="0" w:color="F0C14A"/>
          <w:insideV w:val="single" w:sz="8" w:space="0" w:color="F0C14A"/>
        </w:tblBorders>
      </w:tblPr>
      <w:tblGrid>
        <w:gridCol w:w="5159"/>
        <w:gridCol w:w="5159"/>
      </w:tblGrid>
      <w:tr>
        <w:tc>
          <w:tcPr>
            <w:tcW w:type="dxa" w:w="5159"/>
            <w:shd w:fill="FFFBEA" w:val="clear"/>
            <w:tcMar>
              <w:top w:w="28" w:type="dxa"/>
              <w:left w:w="40" w:type="dxa"/>
              <w:bottom w:w="28" w:type="dxa"/>
              <w:right w:w="40" w:type="dxa"/>
            </w:tcMar>
          </w:tcPr>
          <w:p>
            <w:r>
              <w:rPr>
                <w:rFonts w:ascii="Arial" w:hAnsi="Arial" w:eastAsia="Arial"/>
                <w:b/>
                <w:strike w:val="0"/>
                <w:color w:val="2B2B2B"/>
                <w:sz w:val="18"/>
              </w:rPr>
              <w:t>Ознакомление с документами в один клик</w:t>
            </w:r>
          </w:p>
          <w:p>
            <w:pPr>
              <w:spacing w:after="0" w:before="20"/>
            </w:pPr>
            <w:r>
              <w:rPr>
                <w:rFonts w:ascii="Arial" w:hAnsi="Arial" w:eastAsia="Arial"/>
                <w:b w:val="0"/>
                <w:strike w:val="0"/>
                <w:color w:val="5C5C5C"/>
                <w:sz w:val="16"/>
              </w:rPr>
              <w:t>Отправьте документ одной кнопкой — сотрудник ознакомится и подтвердит получение. Без печати и сбора подписей.</w:t>
            </w:r>
          </w:p>
        </w:tc>
        <w:tc>
          <w:tcPr>
            <w:tcW w:type="dxa" w:w="5159"/>
            <w:shd w:fill="FFFBEA" w:val="clear"/>
            <w:tcMar>
              <w:top w:w="28" w:type="dxa"/>
              <w:left w:w="40" w:type="dxa"/>
              <w:bottom w:w="28" w:type="dxa"/>
              <w:right w:w="40" w:type="dxa"/>
            </w:tcMar>
          </w:tcPr>
          <w:p>
            <w:r>
              <w:rPr>
                <w:rFonts w:ascii="Arial" w:hAnsi="Arial" w:eastAsia="Arial"/>
                <w:b/>
                <w:strike w:val="0"/>
                <w:color w:val="2B2B2B"/>
                <w:sz w:val="18"/>
              </w:rPr>
              <w:t>Удалённый приём на работу</w:t>
            </w:r>
          </w:p>
          <w:p>
            <w:pPr>
              <w:spacing w:after="0" w:before="20"/>
            </w:pPr>
            <w:r>
              <w:rPr>
                <w:rFonts w:ascii="Arial" w:hAnsi="Arial" w:eastAsia="Arial"/>
                <w:b w:val="0"/>
                <w:strike w:val="0"/>
                <w:color w:val="5C5C5C"/>
                <w:sz w:val="16"/>
              </w:rPr>
              <w:t>Трудовой договор, заявление и ознакомление с правилами — без визита в офис.</w:t>
            </w:r>
          </w:p>
        </w:tc>
      </w:tr>
      <w:tr>
        <w:tc>
          <w:tcPr>
            <w:tcW w:type="dxa" w:w="5159"/>
            <w:shd w:fill="FFFBEA" w:val="clear"/>
            <w:tcMar>
              <w:top w:w="28" w:type="dxa"/>
              <w:left w:w="40" w:type="dxa"/>
              <w:bottom w:w="28" w:type="dxa"/>
              <w:right w:w="40" w:type="dxa"/>
            </w:tcMar>
          </w:tcPr>
          <w:p>
            <w:r>
              <w:rPr>
                <w:rFonts w:ascii="Arial" w:hAnsi="Arial" w:eastAsia="Arial"/>
                <w:b/>
                <w:strike w:val="0"/>
                <w:color w:val="2B2B2B"/>
                <w:sz w:val="18"/>
              </w:rPr>
              <w:t>Ответы на вопросы по отпуску</w:t>
            </w:r>
          </w:p>
          <w:p>
            <w:pPr>
              <w:spacing w:after="0" w:before="20"/>
            </w:pPr>
            <w:r>
              <w:rPr>
                <w:rFonts w:ascii="Arial" w:hAnsi="Arial" w:eastAsia="Arial"/>
                <w:b w:val="0"/>
                <w:strike w:val="0"/>
                <w:color w:val="5C5C5C"/>
                <w:sz w:val="16"/>
              </w:rPr>
              <w:t>Сотрудник сам смотрит остаток отпуска и подаёт заявление онлайн — меньше повторяющихся вопросов кадрам.</w:t>
            </w:r>
          </w:p>
        </w:tc>
        <w:tc>
          <w:tcPr>
            <w:tcW w:type="dxa" w:w="5159"/>
            <w:shd w:fill="FFFBEA" w:val="clear"/>
            <w:tcMar>
              <w:top w:w="28" w:type="dxa"/>
              <w:left w:w="40" w:type="dxa"/>
              <w:bottom w:w="28" w:type="dxa"/>
              <w:right w:w="40" w:type="dxa"/>
            </w:tcMar>
          </w:tcPr>
          <w:p>
            <w:r>
              <w:rPr>
                <w:rFonts w:ascii="Arial" w:hAnsi="Arial" w:eastAsia="Arial"/>
                <w:b/>
                <w:strike w:val="0"/>
                <w:color w:val="2B2B2B"/>
                <w:sz w:val="18"/>
              </w:rPr>
              <w:t>Согласование без походов по кабинетам</w:t>
            </w:r>
          </w:p>
          <w:p>
            <w:pPr>
              <w:spacing w:after="0" w:before="20"/>
            </w:pPr>
            <w:r>
              <w:rPr>
                <w:rFonts w:ascii="Arial" w:hAnsi="Arial" w:eastAsia="Arial"/>
                <w:b w:val="0"/>
                <w:strike w:val="0"/>
                <w:color w:val="5C5C5C"/>
                <w:sz w:val="16"/>
              </w:rPr>
              <w:t>Отпуск, командировка, отгул — руководитель согласовывает с телефона, данные сразу в 1С.</w:t>
            </w:r>
          </w:p>
        </w:tc>
      </w:tr>
      <w:tr>
        <w:tc>
          <w:tcPr>
            <w:tcW w:type="dxa" w:w="5159"/>
            <w:shd w:fill="FFFBEA" w:val="clear"/>
            <w:tcMar>
              <w:top w:w="28" w:type="dxa"/>
              <w:left w:w="40" w:type="dxa"/>
              <w:bottom w:w="28" w:type="dxa"/>
              <w:right w:w="40" w:type="dxa"/>
            </w:tcMar>
          </w:tcPr>
          <w:p>
            <w:r>
              <w:rPr>
                <w:rFonts w:ascii="Arial" w:hAnsi="Arial" w:eastAsia="Arial"/>
                <w:b/>
                <w:strike w:val="0"/>
                <w:color w:val="2B2B2B"/>
                <w:sz w:val="18"/>
              </w:rPr>
              <w:t>Общение без сторонних мессенджеров</w:t>
            </w:r>
          </w:p>
          <w:p>
            <w:pPr>
              <w:spacing w:after="0" w:before="20"/>
            </w:pPr>
            <w:r>
              <w:rPr>
                <w:rFonts w:ascii="Arial" w:hAnsi="Arial" w:eastAsia="Arial"/>
                <w:b w:val="0"/>
                <w:strike w:val="0"/>
                <w:color w:val="5C5C5C"/>
                <w:sz w:val="16"/>
              </w:rPr>
              <w:t>Рабочие вопросы и документы — внутри системы, с учётом требований закона о персональных данных.</w:t>
            </w:r>
          </w:p>
        </w:tc>
        <w:tc>
          <w:tcPr>
            <w:tcW w:type="dxa" w:w="5159"/>
            <w:shd w:fill="FFFBEA" w:val="clear"/>
            <w:tcMar>
              <w:top w:w="28" w:type="dxa"/>
              <w:left w:w="40" w:type="dxa"/>
              <w:bottom w:w="28" w:type="dxa"/>
              <w:right w:w="40" w:type="dxa"/>
            </w:tcMar>
          </w:tcPr>
          <w:p>
            <w:r>
              <w:rPr>
                <w:rFonts w:ascii="Arial" w:hAnsi="Arial" w:eastAsia="Arial"/>
                <w:b/>
                <w:strike w:val="0"/>
                <w:color w:val="2B2B2B"/>
                <w:sz w:val="18"/>
              </w:rPr>
              <w:t>Простое внедрение для ИТ</w:t>
            </w:r>
          </w:p>
          <w:p>
            <w:pPr>
              <w:spacing w:after="0" w:before="20"/>
            </w:pPr>
            <w:r>
              <w:rPr>
                <w:rFonts w:ascii="Arial" w:hAnsi="Arial" w:eastAsia="Arial"/>
                <w:b w:val="0"/>
                <w:strike w:val="0"/>
                <w:color w:val="5C5C5C"/>
                <w:sz w:val="16"/>
              </w:rPr>
              <w:t>Сервис уже внутри 1С — без отдельной платформы и долгой интеграции.</w:t>
            </w:r>
          </w:p>
        </w:tc>
      </w:tr>
    </w:tbl>
    <w:p>
      <w:pPr>
        <w:spacing w:after="40" w:before="80"/>
        <w:pBdr>
          <w:bottom w:val="single" w:sz="22" w:space="2" w:color="F0C14A"/>
        </w:pBdr>
      </w:pPr>
      <w:r>
        <w:rPr>
          <w:rFonts w:ascii="Arial" w:hAnsi="Arial" w:eastAsia="Arial"/>
          <w:b/>
          <w:strike w:val="0"/>
          <w:color w:val="2B2B2B"/>
          <w:sz w:val="22"/>
        </w:rPr>
        <w:t>Ваш пакет: 750 личных кабинетов</w:t>
      </w:r>
    </w:p>
    <w:p>
      <w:pPr>
        <w:spacing w:after="60" w:before="0"/>
      </w:pPr>
      <w:r>
        <w:rPr>
          <w:rFonts w:ascii="Arial" w:hAnsi="Arial" w:eastAsia="Arial"/>
          <w:b w:val="0"/>
          <w:strike w:val="0"/>
          <w:color w:val="5C5C5C"/>
          <w:sz w:val="16"/>
        </w:rPr>
        <w:t>Состав лицензий: 500 + 200 + 50 · ≈ 25 ₽ в месяц за сотрудника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space="0" w:color="F0C14A"/>
          <w:left w:val="single" w:sz="10" w:space="0" w:color="F0C14A"/>
          <w:bottom w:val="single" w:sz="10" w:space="0" w:color="F0C14A"/>
          <w:right w:val="single" w:sz="10" w:space="0" w:color="F0C14A"/>
          <w:insideH w:val="single" w:sz="10" w:space="0" w:color="F0C14A"/>
          <w:insideV w:val="single" w:sz="10" w:space="0" w:color="F0C14A"/>
        </w:tblBorders>
      </w:tblPr>
      <w:tblGrid>
        <w:gridCol w:w="3439"/>
        <w:gridCol w:w="3439"/>
        <w:gridCol w:w="3439"/>
      </w:tblGrid>
      <w:tr>
        <w:trPr>
          <w:cantSplit/>
        </w:trPr>
        <w:tc>
          <w:tcPr>
            <w:tcW w:type="dxa" w:w="3439"/>
            <w:shd w:fill="F0C14A" w:val="clear"/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>
              <w:rPr>
                <w:rFonts w:ascii="Arial" w:hAnsi="Arial" w:eastAsia="Arial"/>
                <w:b/>
                <w:strike w:val="0"/>
                <w:color w:val="2B2B2B"/>
                <w:sz w:val="16"/>
              </w:rPr>
              <w:t>Позиция</w:t>
            </w:r>
          </w:p>
        </w:tc>
        <w:tc>
          <w:tcPr>
            <w:tcW w:type="dxa" w:w="3439"/>
            <w:shd w:fill="F0C14A" w:val="clear"/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>
              <w:rPr>
                <w:rFonts w:ascii="Arial" w:hAnsi="Arial" w:eastAsia="Arial"/>
                <w:b/>
                <w:strike w:val="0"/>
                <w:color w:val="2B2B2B"/>
                <w:sz w:val="16"/>
              </w:rPr>
              <w:t>Состав / пояснение</w:t>
            </w:r>
          </w:p>
        </w:tc>
        <w:tc>
          <w:tcPr>
            <w:tcW w:type="dxa" w:w="3439"/>
            <w:shd w:fill="F0C14A" w:val="clear"/>
            <w:tcMar>
              <w:top w:w="20" w:type="dxa"/>
              <w:left w:w="30" w:type="dxa"/>
              <w:bottom w:w="20" w:type="dxa"/>
              <w:right w:w="30" w:type="dxa"/>
            </w:tcMar>
          </w:tcPr>
          <w:p>
            <w:r>
              <w:rPr>
                <w:rFonts w:ascii="Arial" w:hAnsi="Arial" w:eastAsia="Arial"/>
                <w:b/>
                <w:strike w:val="0"/>
                <w:color w:val="2B2B2B"/>
                <w:sz w:val="16"/>
              </w:rPr>
              <w:t>Сумма, ₽</w:t>
            </w:r>
          </w:p>
        </w:tc>
      </w:tr>
      <w:tr>
        <w:trPr>
          <w:cantSplit/>
        </w:trPr>
        <w:tc>
          <w:tcPr>
            <w:tcW w:type="dxa" w:w="3439"/>
            <w:shd w:fill="FFFBEA" w:val="clear"/>
            <w:tcMar>
              <w:top w:w="18" w:type="dxa"/>
              <w:left w:w="30" w:type="dxa"/>
              <w:bottom w:w="18" w:type="dxa"/>
              <w:right w:w="30" w:type="dxa"/>
            </w:tcMar>
          </w:tcPr>
          <w:p>
            <w:r>
              <w:rPr>
                <w:rFonts w:ascii="Arial" w:hAnsi="Arial" w:eastAsia="Arial"/>
                <w:b w:val="0"/>
                <w:strike w:val="0"/>
                <w:color w:val="2B2B2B"/>
                <w:sz w:val="16"/>
              </w:rPr>
              <w:t>1С:Кабинет сотрудника, 750 кабинетов на 12 месяцев</w:t>
            </w:r>
          </w:p>
        </w:tc>
        <w:tc>
          <w:tcPr>
            <w:tcW w:type="dxa" w:w="3439"/>
            <w:shd w:fill="FFFBEA" w:val="clear"/>
            <w:tcMar>
              <w:top w:w="18" w:type="dxa"/>
              <w:left w:w="30" w:type="dxa"/>
              <w:bottom w:w="18" w:type="dxa"/>
              <w:right w:w="30" w:type="dxa"/>
            </w:tcMar>
          </w:tcPr>
          <w:p>
            <w:r>
              <w:rPr>
                <w:rFonts w:ascii="Arial" w:hAnsi="Arial" w:eastAsia="Arial"/>
                <w:b w:val="0"/>
                <w:strike w:val="0"/>
                <w:color w:val="5C5C5C"/>
                <w:sz w:val="15"/>
              </w:rPr>
              <w:t>Пакеты: 500 + 200 + 50 кабинетов</w:t>
            </w:r>
          </w:p>
        </w:tc>
        <w:tc>
          <w:tcPr>
            <w:tcW w:type="dxa" w:w="3439"/>
            <w:shd w:fill="FFFBEA" w:val="clear"/>
            <w:tcMar>
              <w:top w:w="18" w:type="dxa"/>
              <w:left w:w="30" w:type="dxa"/>
              <w:bottom w:w="18" w:type="dxa"/>
              <w:right w:w="30" w:type="dxa"/>
            </w:tcMar>
          </w:tcPr>
          <w:p>
            <w:pPr>
              <w:jc w:val="right"/>
            </w:pPr>
            <w:r>
              <w:rPr>
                <w:rFonts w:ascii="Arial" w:hAnsi="Arial" w:eastAsia="Arial"/>
                <w:b/>
                <w:strike w:val="0"/>
                <w:color w:val="2B2B2B"/>
                <w:sz w:val="18"/>
              </w:rPr>
              <w:t>223 200</w:t>
            </w:r>
          </w:p>
        </w:tc>
      </w:tr>
      <w:tr>
        <w:trPr>
          <w:cantSplit/>
        </w:trPr>
        <w:tc>
          <w:tcPr>
            <w:tcW w:type="dxa" w:w="3439"/>
            <w:shd w:fill="FFF6D8" w:val="clear"/>
            <w:tcMar>
              <w:top w:w="18" w:type="dxa"/>
              <w:left w:w="30" w:type="dxa"/>
              <w:bottom w:w="18" w:type="dxa"/>
              <w:right w:w="30" w:type="dxa"/>
            </w:tcMar>
          </w:tcPr>
          <w:p>
            <w:r>
              <w:rPr>
                <w:rFonts w:ascii="Arial" w:hAnsi="Arial" w:eastAsia="Arial"/>
                <w:b/>
                <w:strike w:val="0"/>
                <w:color w:val="2B2B2B"/>
                <w:sz w:val="16"/>
              </w:rPr>
              <w:t>Настройка и запуск сервиса (≈4 часа)</w:t>
            </w:r>
          </w:p>
        </w:tc>
        <w:tc>
          <w:tcPr>
            <w:tcW w:type="dxa" w:w="3439"/>
            <w:shd w:fill="FFF6D8" w:val="clear"/>
            <w:tcMar>
              <w:top w:w="18" w:type="dxa"/>
              <w:left w:w="30" w:type="dxa"/>
              <w:bottom w:w="18" w:type="dxa"/>
              <w:right w:w="30" w:type="dxa"/>
            </w:tcMar>
          </w:tcPr>
          <w:p>
            <w:r>
              <w:rPr>
                <w:rFonts w:ascii="Arial" w:hAnsi="Arial" w:eastAsia="Arial"/>
                <w:b w:val="0"/>
                <w:strike w:val="0"/>
                <w:color w:val="5C5C5C"/>
                <w:sz w:val="15"/>
              </w:rPr>
              <w:t>Подключить сервис, сделать первичные настройки КЭДО, создать первые 5 кабинетов</w:t>
            </w:r>
          </w:p>
        </w:tc>
        <w:tc>
          <w:tcPr>
            <w:tcW w:type="dxa" w:w="3439"/>
            <w:shd w:fill="FFF6D8" w:val="clear"/>
            <w:tcMar>
              <w:top w:w="18" w:type="dxa"/>
              <w:left w:w="30" w:type="dxa"/>
              <w:bottom w:w="18" w:type="dxa"/>
              <w:right w:w="30" w:type="dxa"/>
            </w:tcMar>
          </w:tcPr>
          <w:p>
            <w:pPr>
              <w:jc w:val="right"/>
            </w:pPr>
            <w:r>
              <w:rPr>
                <w:rFonts w:ascii="Arial" w:hAnsi="Arial" w:eastAsia="Arial"/>
                <w:b/>
                <w:strike/>
                <w:color w:val="B71C1C"/>
                <w:sz w:val="18"/>
              </w:rPr>
              <w:t>14 640</w:t>
            </w:r>
            <w:r>
              <w:rPr>
                <w:rFonts w:ascii="Arial" w:hAnsi="Arial" w:eastAsia="Arial"/>
                <w:b w:val="0"/>
                <w:strike w:val="0"/>
                <w:color w:val="5C5C5C"/>
                <w:sz w:val="18"/>
              </w:rPr>
              <w:t xml:space="preserve">  →  </w:t>
            </w:r>
            <w:r>
              <w:rPr>
                <w:rFonts w:ascii="Arial" w:hAnsi="Arial" w:eastAsia="Arial"/>
                <w:b/>
                <w:strike w:val="0"/>
                <w:color w:val="2E7D32"/>
                <w:sz w:val="18"/>
              </w:rPr>
              <w:t>0 ₽</w:t>
            </w:r>
          </w:p>
        </w:tc>
      </w:tr>
      <w:tr>
        <w:trPr>
          <w:cantSplit/>
        </w:trPr>
        <w:tc>
          <w:tcPr>
            <w:tcW w:type="dxa" w:w="3439"/>
            <w:shd w:fill="FFF6D8" w:val="clear"/>
            <w:tcMar>
              <w:top w:w="18" w:type="dxa"/>
              <w:left w:w="30" w:type="dxa"/>
              <w:bottom w:w="18" w:type="dxa"/>
              <w:right w:w="30" w:type="dxa"/>
            </w:tcMar>
          </w:tcPr>
          <w:p>
            <w:r>
              <w:rPr>
                <w:rFonts w:ascii="Arial" w:hAnsi="Arial" w:eastAsia="Arial"/>
                <w:b/>
                <w:strike w:val="0"/>
                <w:color w:val="2B2B2B"/>
                <w:sz w:val="16"/>
              </w:rPr>
              <w:t>Запас на вопросы по 1С (1 час)</w:t>
            </w:r>
          </w:p>
        </w:tc>
        <w:tc>
          <w:tcPr>
            <w:tcW w:type="dxa" w:w="3439"/>
            <w:shd w:fill="FFF6D8" w:val="clear"/>
            <w:tcMar>
              <w:top w:w="18" w:type="dxa"/>
              <w:left w:w="30" w:type="dxa"/>
              <w:bottom w:w="18" w:type="dxa"/>
              <w:right w:w="30" w:type="dxa"/>
            </w:tcMar>
          </w:tcPr>
          <w:p>
            <w:r>
              <w:rPr>
                <w:rFonts w:ascii="Arial" w:hAnsi="Arial" w:eastAsia="Arial"/>
                <w:b w:val="0"/>
                <w:strike w:val="0"/>
                <w:color w:val="5C5C5C"/>
                <w:sz w:val="15"/>
              </w:rPr>
              <w:t>в подарок</w:t>
            </w:r>
          </w:p>
        </w:tc>
        <w:tc>
          <w:tcPr>
            <w:tcW w:type="dxa" w:w="3439"/>
            <w:shd w:fill="FFF6D8" w:val="clear"/>
            <w:tcMar>
              <w:top w:w="18" w:type="dxa"/>
              <w:left w:w="30" w:type="dxa"/>
              <w:bottom w:w="18" w:type="dxa"/>
              <w:right w:w="30" w:type="dxa"/>
            </w:tcMar>
          </w:tcPr>
          <w:p>
            <w:pPr>
              <w:jc w:val="right"/>
            </w:pPr>
            <w:r>
              <w:rPr>
                <w:rFonts w:ascii="Arial" w:hAnsi="Arial" w:eastAsia="Arial"/>
                <w:b/>
                <w:strike/>
                <w:color w:val="B71C1C"/>
                <w:sz w:val="18"/>
              </w:rPr>
              <w:t>3 660</w:t>
            </w:r>
            <w:r>
              <w:rPr>
                <w:rFonts w:ascii="Arial" w:hAnsi="Arial" w:eastAsia="Arial"/>
                <w:b w:val="0"/>
                <w:strike w:val="0"/>
                <w:color w:val="5C5C5C"/>
                <w:sz w:val="18"/>
              </w:rPr>
              <w:t xml:space="preserve">  →  </w:t>
            </w:r>
            <w:r>
              <w:rPr>
                <w:rFonts w:ascii="Arial" w:hAnsi="Arial" w:eastAsia="Arial"/>
                <w:b/>
                <w:strike w:val="0"/>
                <w:color w:val="2E7D32"/>
                <w:sz w:val="18"/>
              </w:rPr>
              <w:t>0 ₽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2E7D32"/>
          <w:left w:val="single" w:sz="12" w:space="0" w:color="2E7D32"/>
          <w:bottom w:val="single" w:sz="12" w:space="0" w:color="2E7D32"/>
          <w:right w:val="single" w:sz="12" w:space="0" w:color="2E7D32"/>
          <w:insideH w:val="single" w:sz="12" w:space="0" w:color="2E7D32"/>
          <w:insideV w:val="single" w:sz="12" w:space="0" w:color="2E7D32"/>
        </w:tblBorders>
      </w:tblPr>
      <w:tblGrid>
        <w:gridCol w:w="10318"/>
      </w:tblGrid>
      <w:tr>
        <w:tc>
          <w:tcPr>
            <w:tcW w:type="dxa" w:w="10318"/>
            <w:shd w:fill="E8F5E9" w:val="clear"/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r>
              <w:rPr>
                <w:rFonts w:ascii="Arial" w:hAnsi="Arial" w:eastAsia="Arial"/>
                <w:b/>
                <w:strike w:val="0"/>
                <w:color w:val="2E7D32"/>
                <w:sz w:val="20"/>
              </w:rPr>
              <w:t>Внедрение — 0 ₽</w:t>
            </w:r>
          </w:p>
          <w:p>
            <w:pPr>
              <w:spacing w:before="20" w:after="0"/>
            </w:pPr>
            <w:r>
              <w:rPr>
                <w:rFonts w:ascii="Arial" w:hAnsi="Arial" w:eastAsia="Arial"/>
                <w:b w:val="0"/>
                <w:strike w:val="0"/>
                <w:color w:val="2B2B2B"/>
                <w:sz w:val="15"/>
              </w:rPr>
              <w:t>Настройка и стартовая поддержка покрываются подарочными часами линии консультаций (выгода 18 300 ₽).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14" w:space="0" w:color="F0C14A"/>
          <w:left w:val="single" w:sz="14" w:space="0" w:color="F0C14A"/>
          <w:bottom w:val="single" w:sz="14" w:space="0" w:color="F0C14A"/>
          <w:right w:val="single" w:sz="14" w:space="0" w:color="F0C14A"/>
          <w:insideH w:val="single" w:sz="14" w:space="0" w:color="F0C14A"/>
          <w:insideV w:val="single" w:sz="14" w:space="0" w:color="F0C14A"/>
        </w:tblBorders>
      </w:tblPr>
      <w:tblGrid>
        <w:gridCol w:w="10318"/>
      </w:tblGrid>
      <w:tr>
        <w:tc>
          <w:tcPr>
            <w:tcW w:type="dxa" w:w="10318"/>
            <w:shd w:fill="FFF6D8" w:val="clear"/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r>
              <w:rPr>
                <w:rFonts w:ascii="Arial" w:hAnsi="Arial" w:eastAsia="Arial"/>
                <w:b/>
                <w:strike w:val="0"/>
                <w:color w:val="2B2B2B"/>
                <w:sz w:val="20"/>
              </w:rPr>
              <w:t>45 дней пользования — в подарок</w:t>
            </w:r>
          </w:p>
          <w:p>
            <w:pPr>
              <w:spacing w:before="20" w:after="0"/>
            </w:pPr>
            <w:r>
              <w:rPr>
                <w:rFonts w:ascii="Arial" w:hAnsi="Arial" w:eastAsia="Arial"/>
                <w:b w:val="0"/>
                <w:strike w:val="0"/>
                <w:color w:val="2B2B2B"/>
                <w:sz w:val="16"/>
              </w:rPr>
              <w:t>При покупке на 12 месяцев дарим ещё 45 дней. Итого 13,5 месяцев пользования по цене 12 месяцев.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F0C14A"/>
          <w:left w:val="single" w:sz="12" w:space="0" w:color="F0C14A"/>
          <w:bottom w:val="single" w:sz="12" w:space="0" w:color="F0C14A"/>
          <w:right w:val="single" w:sz="12" w:space="0" w:color="F0C14A"/>
          <w:insideH w:val="single" w:sz="12" w:space="0" w:color="F0C14A"/>
          <w:insideV w:val="single" w:sz="12" w:space="0" w:color="F0C14A"/>
        </w:tblBorders>
      </w:tblPr>
      <w:tblGrid>
        <w:gridCol w:w="5159"/>
        <w:gridCol w:w="5159"/>
      </w:tblGrid>
      <w:tr>
        <w:trPr>
          <w:cantSplit/>
        </w:trPr>
        <w:tc>
          <w:tcPr>
            <w:tcW w:type="dxa" w:w="5159"/>
            <w:shd w:fill="F0C14A" w:val="clear"/>
            <w:tcMar>
              <w:top w:w="30" w:type="dxa"/>
              <w:left w:w="50" w:type="dxa"/>
              <w:bottom w:w="30" w:type="dxa"/>
              <w:right w:w="50" w:type="dxa"/>
            </w:tcMar>
          </w:tcPr>
          <w:p>
            <w:r>
              <w:rPr>
                <w:rFonts w:ascii="Arial" w:hAnsi="Arial" w:eastAsia="Arial"/>
                <w:b/>
                <w:strike w:val="0"/>
                <w:color w:val="2B2B2B"/>
                <w:sz w:val="18"/>
              </w:rPr>
              <w:t>ИТОГО К ОПЛАТЕ</w:t>
            </w:r>
          </w:p>
          <w:p>
            <w:pPr>
              <w:spacing w:before="20" w:after="0"/>
            </w:pPr>
            <w:r>
              <w:rPr>
                <w:rFonts w:ascii="Arial" w:hAnsi="Arial" w:eastAsia="Arial"/>
                <w:b w:val="0"/>
                <w:strike w:val="0"/>
                <w:color w:val="2B2B2B"/>
                <w:sz w:val="15"/>
              </w:rPr>
              <w:t>Только пакет кабинетов. Внедрение — 0 ₽. Подпись сотрудникам — бесплатно.</w:t>
            </w:r>
          </w:p>
        </w:tc>
        <w:tc>
          <w:tcPr>
            <w:tcW w:type="dxa" w:w="5159"/>
            <w:shd w:fill="F0C14A" w:val="clear"/>
            <w:tcMar>
              <w:top w:w="30" w:type="dxa"/>
              <w:left w:w="50" w:type="dxa"/>
              <w:bottom w:w="30" w:type="dxa"/>
              <w:right w:w="50" w:type="dxa"/>
            </w:tcMar>
          </w:tcPr>
          <w:p>
            <w:pPr>
              <w:jc w:val="right"/>
            </w:pPr>
            <w:r>
              <w:rPr>
                <w:rFonts w:ascii="Arial" w:hAnsi="Arial" w:eastAsia="Arial"/>
                <w:b/>
                <w:strike w:val="0"/>
                <w:color w:val="2B2B2B"/>
                <w:sz w:val="28"/>
              </w:rPr>
              <w:t>223 200 ₽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drawing>
                <wp:inline xmlns:a="http://schemas.openxmlformats.org/drawingml/2006/main" xmlns:pic="http://schemas.openxmlformats.org/drawingml/2006/picture">
                  <wp:extent cx="1152000" cy="55701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rus_logo_docx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570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59"/>
          </w:tcPr>
          <w:p>
            <w:pPr>
              <w:jc w:val="right"/>
            </w:pPr>
            <w:r>
              <w:rPr>
                <w:rFonts w:ascii="Arial" w:hAnsi="Arial" w:eastAsia="Arial"/>
                <w:b w:val="0"/>
                <w:strike w:val="0"/>
                <w:color w:val="5C5C5C"/>
                <w:sz w:val="16"/>
              </w:rPr>
              <w:t>+7 (3952) 78-00-00  ·  www.forus.ru</w:t>
            </w:r>
          </w:p>
        </w:tc>
      </w:tr>
    </w:tbl>
    <w:p>
      <w:pPr>
        <w:spacing w:after="40" w:before="80"/>
        <w:pBdr>
          <w:bottom w:val="single" w:sz="22" w:space="2" w:color="F0C14A"/>
        </w:pBdr>
      </w:pPr>
      <w:r>
        <w:rPr>
          <w:rFonts w:ascii="Arial" w:hAnsi="Arial" w:eastAsia="Arial"/>
          <w:b/>
          <w:strike w:val="0"/>
          <w:color w:val="2B2B2B"/>
          <w:sz w:val="24"/>
        </w:rPr>
        <w:t>Внедрение у Форус vs другие операторы</w:t>
      </w:r>
    </w:p>
    <w:p>
      <w:pPr>
        <w:spacing w:after="120" w:before="0"/>
      </w:pPr>
      <w:r>
        <w:rPr>
          <w:rFonts w:ascii="Arial" w:hAnsi="Arial" w:eastAsia="Arial"/>
          <w:b w:val="0"/>
          <w:strike w:val="0"/>
          <w:color w:val="5C5C5C"/>
          <w:sz w:val="18"/>
        </w:rPr>
        <w:t>Сравнение по ключевым параметрам для компании на 750 сотрудников. Красным выделены самые невыгодные условия у конкурентов.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F0C14A"/>
          <w:left w:val="single" w:sz="8" w:space="0" w:color="F0C14A"/>
          <w:bottom w:val="single" w:sz="8" w:space="0" w:color="F0C14A"/>
          <w:right w:val="single" w:sz="8" w:space="0" w:color="F0C14A"/>
          <w:insideH w:val="single" w:sz="8" w:space="0" w:color="F0C14A"/>
          <w:insideV w:val="single" w:sz="8" w:space="0" w:color="F0C14A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  <w:shd w:fill="F0C14A" w:val="clear"/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jc w:val="left"/>
            </w:pPr>
            <w:r>
              <w:rPr>
                <w:rFonts w:ascii="Arial" w:hAnsi="Arial" w:eastAsia="Arial"/>
                <w:b/>
                <w:strike w:val="0"/>
                <w:color w:val="2B2B2B"/>
                <w:sz w:val="16"/>
              </w:rPr>
              <w:t>Параметр</w:t>
            </w:r>
          </w:p>
        </w:tc>
        <w:tc>
          <w:tcPr>
            <w:tcW w:type="dxa" w:w="2064"/>
            <w:shd w:fill="FFE08A" w:val="clear"/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trike w:val="0"/>
                <w:color w:val="2B2B2B"/>
                <w:sz w:val="16"/>
              </w:rPr>
              <w:t>Форус + 1С:Кабинет</w:t>
            </w:r>
          </w:p>
        </w:tc>
        <w:tc>
          <w:tcPr>
            <w:tcW w:type="dxa" w:w="2064"/>
            <w:shd w:fill="F0C14A" w:val="clear"/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trike w:val="0"/>
                <w:color w:val="2B2B2B"/>
                <w:sz w:val="16"/>
              </w:rPr>
              <w:t>HRlink / VK HR Tek</w:t>
            </w:r>
          </w:p>
        </w:tc>
        <w:tc>
          <w:tcPr>
            <w:tcW w:type="dxa" w:w="2064"/>
            <w:shd w:fill="F0C14A" w:val="clear"/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trike w:val="0"/>
                <w:color w:val="2B2B2B"/>
                <w:sz w:val="16"/>
              </w:rPr>
              <w:t>Контур КЭДО</w:t>
            </w:r>
          </w:p>
        </w:tc>
        <w:tc>
          <w:tcPr>
            <w:tcW w:type="dxa" w:w="2064"/>
            <w:shd w:fill="F0C14A" w:val="clear"/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trike w:val="0"/>
                <w:color w:val="2B2B2B"/>
                <w:sz w:val="16"/>
              </w:rPr>
              <w:t>Saby</w:t>
            </w:r>
          </w:p>
        </w:tc>
      </w:tr>
      <w:tr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FBEA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strike w:val="0"/>
                <w:color w:val="2B2B2B"/>
                <w:sz w:val="15"/>
              </w:rPr>
              <w:t>Работа внутри вашей 1С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E8F5E9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trike w:val="0"/>
                <w:color w:val="2E7D32"/>
                <w:sz w:val="15"/>
              </w:rPr>
              <w:t>Да — без новой платформы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B71C1C"/>
                <w:sz w:val="15"/>
              </w:rPr>
              <w:t>Нет — отдельная система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B71C1C"/>
                <w:sz w:val="15"/>
              </w:rPr>
              <w:t>Нет — отдельная система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B71C1C"/>
                <w:sz w:val="15"/>
              </w:rPr>
              <w:t>Нет — отдельная система</w:t>
            </w:r>
          </w:p>
        </w:tc>
      </w:tr>
      <w:tr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FBEA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strike w:val="0"/>
                <w:color w:val="2B2B2B"/>
                <w:sz w:val="15"/>
              </w:rPr>
              <w:t>Двойной ввод данных кадровиком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E8F5E9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trike w:val="0"/>
                <w:color w:val="2E7D32"/>
                <w:sz w:val="15"/>
              </w:rPr>
              <w:t>Нет — заявления сразу становятся документами 1С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B71C1C"/>
                <w:sz w:val="15"/>
              </w:rPr>
              <w:t>Часто нужен перенос и сверка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B71C1C"/>
                <w:sz w:val="15"/>
              </w:rPr>
              <w:t>Часто нужен перенос и сверка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B71C1C"/>
                <w:sz w:val="15"/>
              </w:rPr>
              <w:t>Часто нужен перенос и сверка</w:t>
            </w:r>
          </w:p>
        </w:tc>
      </w:tr>
      <w:tr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FBEA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strike w:val="0"/>
                <w:color w:val="2B2B2B"/>
                <w:sz w:val="15"/>
              </w:rPr>
              <w:t>Где хранятся документы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E8F5E9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trike w:val="0"/>
                <w:color w:val="2E7D32"/>
                <w:sz w:val="15"/>
              </w:rPr>
              <w:t>В вашей базе 1С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B71C1C"/>
                <w:sz w:val="15"/>
              </w:rPr>
              <w:t>Облако оператора (часто платно)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B71C1C"/>
                <w:sz w:val="15"/>
              </w:rPr>
              <w:t>Облако / доп. хранилище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B71C1C"/>
                <w:sz w:val="15"/>
              </w:rPr>
              <w:t>Облако оператора</w:t>
            </w:r>
          </w:p>
        </w:tc>
      </w:tr>
      <w:tr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FBEA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strike w:val="0"/>
                <w:color w:val="2B2B2B"/>
                <w:sz w:val="15"/>
              </w:rPr>
              <w:t>Электронная подпись сотрудникам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E8F5E9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trike w:val="0"/>
                <w:color w:val="2E7D32"/>
                <w:sz w:val="15"/>
              </w:rPr>
              <w:t>Бесплатно (усиленная неквалифицированная)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B71C1C"/>
                <w:sz w:val="15"/>
              </w:rPr>
              <w:t>Часто платные сертификаты / пакеты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B71C1C"/>
                <w:sz w:val="15"/>
              </w:rPr>
              <w:t>Часто платные сертификаты / пакеты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B71C1C"/>
                <w:sz w:val="15"/>
              </w:rPr>
              <w:t>Часто платные сертификаты / пакеты</w:t>
            </w:r>
          </w:p>
        </w:tc>
      </w:tr>
      <w:tr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FBEA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strike w:val="0"/>
                <w:color w:val="2B2B2B"/>
                <w:sz w:val="15"/>
              </w:rPr>
              <w:t>Сложность внедрения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E8F5E9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trike w:val="0"/>
                <w:color w:val="2E7D32"/>
                <w:sz w:val="15"/>
              </w:rPr>
              <w:t>Быстрый старт в привычной 1С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B71C1C"/>
                <w:sz w:val="15"/>
              </w:rPr>
              <w:t>Долгая интеграция с 1С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B71C1C"/>
                <w:sz w:val="15"/>
              </w:rPr>
              <w:t>Долгая интеграция с 1С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B71C1C"/>
                <w:sz w:val="15"/>
              </w:rPr>
              <w:t>Долгая интеграция с 1С</w:t>
            </w:r>
          </w:p>
        </w:tc>
      </w:tr>
      <w:tr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FBEA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strike w:val="0"/>
                <w:color w:val="2B2B2B"/>
                <w:sz w:val="15"/>
              </w:rPr>
              <w:t>Нагрузка на ИТ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E8F5E9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trike w:val="0"/>
                <w:color w:val="2E7D32"/>
                <w:sz w:val="15"/>
              </w:rPr>
              <w:t>Без новых клиентских лицензий 1С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B71C1C"/>
                <w:sz w:val="15"/>
              </w:rPr>
              <w:t>Новая система + интеграции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B71C1C"/>
                <w:sz w:val="15"/>
              </w:rPr>
              <w:t>Новая система + интеграции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B71C1C"/>
                <w:sz w:val="15"/>
              </w:rPr>
              <w:t>Новая система + интеграции</w:t>
            </w:r>
          </w:p>
        </w:tc>
      </w:tr>
      <w:tr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FBEA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strike w:val="0"/>
                <w:color w:val="2B2B2B"/>
                <w:sz w:val="15"/>
              </w:rPr>
              <w:t>Стоимость владения на старте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E8F5E9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trike w:val="0"/>
                <w:color w:val="2E7D32"/>
                <w:sz w:val="15"/>
              </w:rPr>
              <w:t>Пакет кабинетов + подарочные часы линии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B71C1C"/>
                <w:sz w:val="15"/>
              </w:rPr>
              <w:t>Лицензии + внедрение + хранение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B71C1C"/>
                <w:sz w:val="15"/>
              </w:rPr>
              <w:t>Лицензии + внедрение + хранение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B71C1C"/>
                <w:sz w:val="15"/>
              </w:rPr>
              <w:t>Лицензии + внедрение + хранение</w:t>
            </w:r>
          </w:p>
        </w:tc>
      </w:tr>
    </w:tbl>
    <w:p>
      <w:pPr>
        <w:spacing w:after="160" w:before="0"/>
      </w:pPr>
      <w:r>
        <w:rPr>
          <w:rFonts w:ascii="Arial" w:hAnsi="Arial" w:eastAsia="Arial"/>
          <w:b w:val="0"/>
          <w:strike w:val="0"/>
          <w:color w:val="2B2B2B"/>
          <w:sz w:val="2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F0C14A"/>
          <w:left w:val="single" w:sz="12" w:space="0" w:color="F0C14A"/>
          <w:bottom w:val="single" w:sz="12" w:space="0" w:color="F0C14A"/>
          <w:right w:val="single" w:sz="12" w:space="0" w:color="F0C14A"/>
          <w:insideH w:val="single" w:sz="12" w:space="0" w:color="F0C14A"/>
          <w:insideV w:val="single" w:sz="12" w:space="0" w:color="F0C14A"/>
        </w:tblBorders>
      </w:tblPr>
      <w:tblGrid>
        <w:gridCol w:w="10318"/>
      </w:tblGrid>
      <w:tr>
        <w:tc>
          <w:tcPr>
            <w:tcW w:type="dxa" w:w="10318"/>
            <w:shd w:fill="FFF6D8" w:val="clea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>
              <w:rPr>
                <w:rFonts w:ascii="Arial" w:hAnsi="Arial" w:eastAsia="Arial"/>
                <w:b/>
                <w:strike w:val="0"/>
                <w:color w:val="2B2B2B"/>
                <w:sz w:val="20"/>
              </w:rPr>
              <w:t>Вывод для корпоративного клиента</w:t>
            </w:r>
          </w:p>
          <w:p>
            <w:pPr>
              <w:spacing w:after="20"/>
            </w:pPr>
            <w:r>
              <w:rPr>
                <w:rFonts w:ascii="Arial" w:hAnsi="Arial" w:eastAsia="Arial"/>
                <w:b w:val="0"/>
                <w:strike w:val="0"/>
                <w:color w:val="5C5C5C"/>
                <w:sz w:val="16"/>
              </w:rPr>
              <w:t>Отдельные операторы кадрового электронного документооборота почти всегда тянут за собой новую систему, двойную работу кадровика, платное хранение и долгую интеграцию с 1С.</w:t>
            </w:r>
          </w:p>
          <w:p>
            <w:pPr>
              <w:spacing w:after="20"/>
            </w:pPr>
            <w:r>
              <w:rPr>
                <w:rFonts w:ascii="Arial" w:hAnsi="Arial" w:eastAsia="Arial"/>
                <w:b w:val="0"/>
                <w:strike w:val="0"/>
                <w:color w:val="5C5C5C"/>
                <w:sz w:val="16"/>
              </w:rPr>
              <w:t>С Форус вы остаётесь в привычной 1С, получаете подарочные часы поддержки и прозрачную стоимость пакета.</w:t>
            </w:r>
          </w:p>
        </w:tc>
      </w:tr>
    </w:tbl>
    <w:p>
      <w:pPr>
        <w:spacing w:after="60"/>
      </w:pPr>
    </w:p>
    <w:p>
      <w:pPr>
        <w:spacing w:after="40" w:before="80"/>
        <w:pBdr>
          <w:bottom w:val="single" w:sz="22" w:space="2" w:color="F0C14A"/>
        </w:pBdr>
      </w:pPr>
      <w:r>
        <w:rPr>
          <w:rFonts w:ascii="Arial" w:hAnsi="Arial" w:eastAsia="Arial"/>
          <w:b/>
          <w:strike w:val="0"/>
          <w:color w:val="2B2B2B"/>
          <w:sz w:val="24"/>
        </w:rPr>
        <w:t>Как мы запускаем сервис у вас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F0C14A"/>
          <w:left w:val="single" w:sz="8" w:space="0" w:color="F0C14A"/>
          <w:bottom w:val="single" w:sz="8" w:space="0" w:color="F0C14A"/>
          <w:right w:val="single" w:sz="8" w:space="0" w:color="F0C14A"/>
          <w:insideH w:val="single" w:sz="8" w:space="0" w:color="F0C14A"/>
          <w:insideV w:val="single" w:sz="8" w:space="0" w:color="F0C14A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  <w:shd w:fill="FFFBEA" w:val="clear"/>
            <w:tcMar>
              <w:top w:w="4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trike w:val="0"/>
                <w:color w:val="9A7A10"/>
                <w:sz w:val="24"/>
              </w:rPr>
              <w:t>01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strike w:val="0"/>
                <w:color w:val="2B2B2B"/>
                <w:sz w:val="18"/>
              </w:rPr>
              <w:t>Подключение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5C5C5C"/>
                <w:sz w:val="16"/>
              </w:rPr>
              <w:t>Подключаем сервис к вашей 1С</w:t>
            </w:r>
          </w:p>
        </w:tc>
        <w:tc>
          <w:tcPr>
            <w:tcW w:type="dxa" w:w="2064"/>
            <w:shd w:fill="FFFBEA" w:val="clear"/>
            <w:tcMar>
              <w:top w:w="4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trike w:val="0"/>
                <w:color w:val="9A7A10"/>
                <w:sz w:val="24"/>
              </w:rPr>
              <w:t>02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strike w:val="0"/>
                <w:color w:val="2B2B2B"/>
                <w:sz w:val="18"/>
              </w:rPr>
              <w:t>Настройка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5C5C5C"/>
                <w:sz w:val="16"/>
              </w:rPr>
              <w:t>Роли, процессы, печатные формы</w:t>
            </w:r>
          </w:p>
        </w:tc>
        <w:tc>
          <w:tcPr>
            <w:tcW w:type="dxa" w:w="2064"/>
            <w:shd w:fill="FFFBEA" w:val="clear"/>
            <w:tcMar>
              <w:top w:w="4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trike w:val="0"/>
                <w:color w:val="9A7A10"/>
                <w:sz w:val="24"/>
              </w:rPr>
              <w:t>03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strike w:val="0"/>
                <w:color w:val="2B2B2B"/>
                <w:sz w:val="18"/>
              </w:rPr>
              <w:t>Подписи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5C5C5C"/>
                <w:sz w:val="16"/>
              </w:rPr>
              <w:t>Выпуск подписей сотрудникам</w:t>
            </w:r>
          </w:p>
        </w:tc>
        <w:tc>
          <w:tcPr>
            <w:tcW w:type="dxa" w:w="2064"/>
            <w:shd w:fill="FFFBEA" w:val="clear"/>
            <w:tcMar>
              <w:top w:w="4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trike w:val="0"/>
                <w:color w:val="9A7A10"/>
                <w:sz w:val="24"/>
              </w:rPr>
              <w:t>04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strike w:val="0"/>
                <w:color w:val="2B2B2B"/>
                <w:sz w:val="18"/>
              </w:rPr>
              <w:t>Обучение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5C5C5C"/>
                <w:sz w:val="16"/>
              </w:rPr>
              <w:t>Видеоуроки и короткие инструкции</w:t>
            </w:r>
          </w:p>
        </w:tc>
        <w:tc>
          <w:tcPr>
            <w:tcW w:type="dxa" w:w="2064"/>
            <w:shd w:fill="FFFBEA" w:val="clear"/>
            <w:tcMar>
              <w:top w:w="4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trike w:val="0"/>
                <w:color w:val="9A7A10"/>
                <w:sz w:val="24"/>
              </w:rPr>
              <w:t>05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strike w:val="0"/>
                <w:color w:val="2B2B2B"/>
                <w:sz w:val="18"/>
              </w:rPr>
              <w:t>Старт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5C5C5C"/>
                <w:sz w:val="16"/>
              </w:rPr>
              <w:t>Заявления, расчётные, согласования</w:t>
            </w:r>
          </w:p>
        </w:tc>
      </w:tr>
    </w:tbl>
    <w:p>
      <w:pPr>
        <w:spacing w:after="160" w:before="0"/>
      </w:pPr>
      <w:r>
        <w:rPr>
          <w:rFonts w:ascii="Arial" w:hAnsi="Arial" w:eastAsia="Arial"/>
          <w:b w:val="0"/>
          <w:strike w:val="0"/>
          <w:color w:val="2B2B2B"/>
          <w:sz w:val="20"/>
        </w:rPr>
      </w:r>
    </w:p>
    <w:p>
      <w:pPr>
        <w:spacing w:after="40" w:before="80"/>
        <w:pBdr>
          <w:bottom w:val="single" w:sz="22" w:space="2" w:color="F0C14A"/>
        </w:pBdr>
      </w:pPr>
      <w:r>
        <w:rPr>
          <w:rFonts w:ascii="Arial" w:hAnsi="Arial" w:eastAsia="Arial"/>
          <w:b/>
          <w:strike w:val="0"/>
          <w:color w:val="2B2B2B"/>
          <w:sz w:val="24"/>
        </w:rPr>
        <w:t>Почему Форус</w:t>
      </w:r>
    </w:p>
    <w:p>
      <w:pPr>
        <w:spacing w:after="60"/>
      </w:pPr>
      <w:r>
        <w:rPr>
          <w:rFonts w:ascii="Arial" w:hAnsi="Arial" w:eastAsia="Arial"/>
          <w:b/>
          <w:strike w:val="0"/>
          <w:color w:val="9A7A10"/>
          <w:sz w:val="20"/>
        </w:rPr>
        <w:t xml:space="preserve">●  </w:t>
      </w:r>
      <w:r>
        <w:rPr>
          <w:rFonts w:ascii="Arial" w:hAnsi="Arial" w:eastAsia="Arial"/>
          <w:b w:val="0"/>
          <w:strike w:val="0"/>
          <w:color w:val="2B2B2B"/>
          <w:sz w:val="20"/>
        </w:rPr>
        <w:t>Центр компетенции по кадровому электронному документообороту и по управлению персоналом</w:t>
      </w:r>
    </w:p>
    <w:p>
      <w:pPr>
        <w:spacing w:after="60"/>
      </w:pPr>
      <w:r>
        <w:rPr>
          <w:rFonts w:ascii="Arial" w:hAnsi="Arial" w:eastAsia="Arial"/>
          <w:b/>
          <w:strike w:val="0"/>
          <w:color w:val="9A7A10"/>
          <w:sz w:val="20"/>
        </w:rPr>
        <w:t xml:space="preserve">●  </w:t>
      </w:r>
      <w:r>
        <w:rPr>
          <w:rFonts w:ascii="Arial" w:hAnsi="Arial" w:eastAsia="Arial"/>
          <w:b w:val="0"/>
          <w:strike w:val="0"/>
          <w:color w:val="2B2B2B"/>
          <w:sz w:val="20"/>
        </w:rPr>
        <w:t>ТОП-5 дистрибьюторов 1С в России · более 10 000 клиентов на сопровождении</w:t>
      </w:r>
    </w:p>
    <w:p>
      <w:pPr>
        <w:spacing w:after="60"/>
      </w:pPr>
      <w:r>
        <w:rPr>
          <w:rFonts w:ascii="Arial" w:hAnsi="Arial" w:eastAsia="Arial"/>
          <w:b/>
          <w:strike w:val="0"/>
          <w:color w:val="9A7A10"/>
          <w:sz w:val="20"/>
        </w:rPr>
        <w:t xml:space="preserve">●  </w:t>
      </w:r>
      <w:r>
        <w:rPr>
          <w:rFonts w:ascii="Arial" w:hAnsi="Arial" w:eastAsia="Arial"/>
          <w:b w:val="0"/>
          <w:strike w:val="0"/>
          <w:color w:val="2B2B2B"/>
          <w:sz w:val="20"/>
        </w:rPr>
        <w:t>Успешные внедрения, включая крупные сети (в том числе кейс DNS)</w:t>
      </w:r>
    </w:p>
    <w:p>
      <w:pPr>
        <w:spacing w:after="60"/>
      </w:pPr>
      <w:r>
        <w:rPr>
          <w:rFonts w:ascii="Arial" w:hAnsi="Arial" w:eastAsia="Arial"/>
          <w:b/>
          <w:strike w:val="0"/>
          <w:color w:val="9A7A10"/>
          <w:sz w:val="20"/>
        </w:rPr>
        <w:t xml:space="preserve">●  </w:t>
      </w:r>
      <w:r>
        <w:rPr>
          <w:rFonts w:ascii="Arial" w:hAnsi="Arial" w:eastAsia="Arial"/>
          <w:b w:val="0"/>
          <w:strike w:val="0"/>
          <w:color w:val="2B2B2B"/>
          <w:sz w:val="20"/>
        </w:rPr>
        <w:t>Шаблоны документов для перехода, видеоуроки и линия консультаций</w:t>
      </w:r>
    </w:p>
    <w:p>
      <w:pPr>
        <w:spacing w:after="200" w:before="0"/>
      </w:pPr>
      <w:r>
        <w:rPr>
          <w:rFonts w:ascii="Arial" w:hAnsi="Arial" w:eastAsia="Arial"/>
          <w:b w:val="0"/>
          <w:strike w:val="0"/>
          <w:color w:val="2B2B2B"/>
          <w:sz w:val="2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4" w:space="0" w:color="F0C14A"/>
          <w:left w:val="single" w:sz="14" w:space="0" w:color="F0C14A"/>
          <w:bottom w:val="single" w:sz="14" w:space="0" w:color="F0C14A"/>
          <w:right w:val="single" w:sz="14" w:space="0" w:color="F0C14A"/>
          <w:insideH w:val="single" w:sz="14" w:space="0" w:color="F0C14A"/>
          <w:insideV w:val="single" w:sz="14" w:space="0" w:color="F0C14A"/>
        </w:tblBorders>
      </w:tblPr>
      <w:tblGrid>
        <w:gridCol w:w="10318"/>
      </w:tblGrid>
      <w:tr>
        <w:tc>
          <w:tcPr>
            <w:tcW w:type="dxa" w:w="10318"/>
            <w:shd w:fill="F0C14A" w:val="clear"/>
            <w:tcMar>
              <w:top w:w="7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trike w:val="0"/>
                <w:color w:val="2B2B2B"/>
                <w:sz w:val="24"/>
              </w:rPr>
              <w:t>Готовы зафиксировать условия и запустить 750 кабинетов?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strike w:val="0"/>
                <w:color w:val="2B2B2B"/>
                <w:sz w:val="18"/>
              </w:rPr>
              <w:t>Подключим сервис, начислим 5 подарочных часов и начнём настройку.</w:t>
            </w:r>
          </w:p>
        </w:tc>
      </w:tr>
      <w:tr>
        <w:tc>
          <w:tcPr>
            <w:tcW w:type="dxa" w:w="10318"/>
            <w:shd w:fill="FFF6D8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rFonts w:ascii="Arial" w:hAnsi="Arial" w:eastAsia="Arial"/>
                <w:b w:val="0"/>
                <w:strike w:val="0"/>
                <w:color w:val="8A8A8A"/>
                <w:sz w:val="16"/>
              </w:rPr>
              <w:t>Ваш менеджер</w:t>
            </w:r>
          </w:p>
          <w:p>
            <w:r>
              <w:rPr>
                <w:rFonts w:ascii="Arial" w:hAnsi="Arial" w:eastAsia="Arial"/>
                <w:b/>
                <w:strike w:val="0"/>
                <w:color w:val="2B2B2B"/>
                <w:sz w:val="26"/>
              </w:rPr>
              <w:t>Данил Кургузов</w:t>
            </w:r>
          </w:p>
          <w:p>
            <w:r>
              <w:rPr>
                <w:rFonts w:ascii="Arial" w:hAnsi="Arial" w:eastAsia="Arial"/>
                <w:b w:val="0"/>
                <w:strike w:val="0"/>
                <w:color w:val="5C5C5C"/>
                <w:sz w:val="18"/>
              </w:rPr>
              <w:t>dkurguzov@forus.ru</w:t>
            </w:r>
          </w:p>
          <w:p>
            <w:r>
              <w:rPr>
                <w:rFonts w:ascii="Arial" w:hAnsi="Arial" w:eastAsia="Arial"/>
                <w:b w:val="0"/>
                <w:strike w:val="0"/>
                <w:color w:val="5C5C5C"/>
                <w:sz w:val="18"/>
              </w:rPr>
              <w:t>+7 (3952) 78-00-00</w:t>
            </w:r>
          </w:p>
          <w:p>
            <w:r>
              <w:rPr>
                <w:rFonts w:ascii="Arial" w:hAnsi="Arial" w:eastAsia="Arial"/>
                <w:b w:val="0"/>
                <w:strike w:val="0"/>
                <w:color w:val="5C5C5C"/>
                <w:sz w:val="18"/>
              </w:rPr>
              <w:t>www.forus.ru  ·  г. Иркутск, ул. Ямская, 1/1</w:t>
            </w:r>
          </w:p>
        </w:tc>
      </w:tr>
    </w:tbl>
    <w:sectPr w:rsidR="00FC693F" w:rsidRPr="0006063C" w:rsidSect="00034616">
      <w:pgSz w:w="11906" w:h="16838"/>
      <w:pgMar w:top="567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