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Verdana" w:hAnsi="Verdana" w:eastAsia="Verdana"/>
          <w:b w:val="0"/>
          <w:color w:val="767677"/>
          <w:sz w:val="20"/>
        </w:rPr>
        <w:t>ГК Форус  ·  Группа продуктового запуска</w:t>
      </w:r>
    </w:p>
    <w:p>
      <w:pPr>
        <w:spacing w:after="40" w:before="0" w:line="240" w:lineRule="auto"/>
      </w:pPr>
      <w:r>
        <w:rPr>
          <w:rFonts w:ascii="Verdana" w:hAnsi="Verdana" w:eastAsia="Verdana"/>
          <w:b/>
          <w:color w:val="26A6E0"/>
          <w:sz w:val="44"/>
        </w:rPr>
        <w:t>Блиц-запись</w:t>
      </w:r>
    </w:p>
    <w:p>
      <w:pPr>
        <w:spacing w:after="160" w:before="0" w:line="240" w:lineRule="auto"/>
      </w:pPr>
      <w:r>
        <w:rPr>
          <w:rFonts w:ascii="Verdana" w:hAnsi="Verdana" w:eastAsia="Verdana"/>
          <w:b/>
          <w:color w:val="1A1A1A"/>
          <w:sz w:val="32"/>
        </w:rPr>
        <w:t>Повестка мозгового штурма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Формат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Очный / онлайн мозговой штурм</w:t>
            </w:r>
          </w:p>
        </w:tc>
      </w:tr>
      <w:tr>
        <w:tc>
          <w:tcPr>
            <w:tcW w:type="dxa" w:w="4986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Длительность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2 часа</w:t>
            </w:r>
          </w:p>
        </w:tc>
      </w:tr>
      <w:tr>
        <w:tc>
          <w:tcPr>
            <w:tcW w:type="dxa" w:w="4986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Дата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____________________</w:t>
            </w:r>
          </w:p>
        </w:tc>
      </w:tr>
      <w:tr>
        <w:tc>
          <w:tcPr>
            <w:tcW w:type="dxa" w:w="4986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Участники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____________________</w:t>
            </w:r>
          </w:p>
        </w:tc>
      </w:tr>
      <w:tr>
        <w:tc>
          <w:tcPr>
            <w:tcW w:type="dxa" w:w="4986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Фасилитатор / секретарь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____________________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Цель встречи</w:t>
            </w:r>
          </w:p>
        </w:tc>
      </w:tr>
    </w:tbl>
    <w:p/>
    <w:p>
      <w:pPr>
        <w:spacing w:after="20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За 2 часа зафиксировать рабочие решения по четырём направлениям развития Блиц-записи: конкурентная отстройка, каналы привлечения, сопровождение после продажи и модель демонстрации. На выходе — список решений с ответственными и сроками, без отложенных «обсудим позже» по критичным пунктам.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Тайминг (ориентир на 120 минут)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3324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324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0:00–0:10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Рамка встречи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Цель, правила, ожидаемый результат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0:10–0:40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Блок 1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Отстройка от Dikidi и Masters при бесплатном оффере</w:t>
            </w:r>
          </w:p>
        </w:tc>
      </w:tr>
      <w:tr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0:40–1:05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Блок 2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Продвижение: digital и событийные контексты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1:05–1:25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Блок 3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Сопровождение клиента после продажи</w:t>
            </w:r>
          </w:p>
        </w:tc>
      </w:tr>
      <w:tr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1:25–1:50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Блок 4</w:t>
            </w:r>
          </w:p>
        </w:tc>
        <w:tc>
          <w:tcPr>
            <w:tcW w:type="dxa" w:w="3324"/>
            <w:shd w:fill="F7F7F7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Продающая модель демонстрации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1:50–2:00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1A1A1A"/>
                <w:sz w:val="20"/>
              </w:rPr>
              <w:t>Сводка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0"/>
              </w:rPr>
              <w:t>Решения, владельцы, следующие шаги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Блок 1. Конкурентная отстройка: Dikidi и Masters</w:t>
            </w:r>
          </w:p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Тезис для обсуждения</w:t>
      </w:r>
    </w:p>
    <w:p>
      <w:pPr>
        <w:spacing w:after="12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Оба конкурента дают бесплатный вход. Значит, наш оффер «бесплатное сотрудничество» сам по себе не отличает продукт. Нужно определить, чем Блиц-запись выигрывает при равном пороге входа: в сообщении на первом контакте, в скрипте, в демо и в условиях перехода на платный пакет.</w:t>
      </w:r>
    </w:p>
    <w:p>
      <w:pPr>
        <w:spacing w:after="80" w:before="80" w:line="240" w:lineRule="auto"/>
      </w:pPr>
      <w:r>
        <w:rPr>
          <w:rFonts w:ascii="Verdana" w:hAnsi="Verdana" w:eastAsia="Verdana"/>
          <w:b/>
          <w:color w:val="26A6E0"/>
          <w:sz w:val="22"/>
        </w:rPr>
        <w:t>Вопросы для обсуждения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Какую одну фразу ценности говорим вместо «у нас тоже бесплатно»?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Где мы реально сильнее Dikidi Free и Masters — и можем ли это доказать на первом звонке?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Что меняем в оффере перехода на платный пакет, чтобы не конкурировать только ценой нуля?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Какие возражения «нам и так бесплатно удобно» закрываем обязательно?</w:t>
      </w:r>
    </w:p>
    <w:p>
      <w:pPr>
        <w:spacing w:after="80" w:before="160" w:line="240" w:lineRule="auto"/>
      </w:pPr>
      <w:r>
        <w:rPr>
          <w:rFonts w:ascii="Verdana" w:hAnsi="Verdana" w:eastAsia="Verdana"/>
          <w:b/>
          <w:color w:val="26A6E0"/>
          <w:sz w:val="22"/>
        </w:rPr>
        <w:t>Решения по блоку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Что решили</w:t>
            </w:r>
          </w:p>
        </w:tc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Ответственный / срок</w:t>
            </w:r>
          </w:p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Блок 2. Продвижение: digital и событийные контексты</w:t>
            </w:r>
          </w:p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Тезис для обсуждения</w:t>
      </w:r>
    </w:p>
    <w:p>
      <w:pPr>
        <w:spacing w:after="12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Нужна рабочая схема привлечения вне холодного прозвона: какие интернет-каналы и какие офлайн/событийные точки даём в тест в первую очередь, с каким сообщением, бюджетом и критерием успеха на пилоте.</w:t>
      </w:r>
    </w:p>
    <w:p>
      <w:pPr>
        <w:spacing w:after="80" w:before="80" w:line="240" w:lineRule="auto"/>
      </w:pPr>
      <w:r>
        <w:rPr>
          <w:rFonts w:ascii="Verdana" w:hAnsi="Verdana" w:eastAsia="Verdana"/>
          <w:b/>
          <w:color w:val="26A6E0"/>
          <w:sz w:val="22"/>
        </w:rPr>
        <w:t>Вопросы для обсуждения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Какие 1–2 digital-канала запускаем в пилот (поиск, карты, соцсети, партнёрские рассылки)?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Какие событийные форматы нам подходят (отраслевые встречи, вебинары, партнёрские дни)?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Какое сообщение и креатив тестируем первым — и кого считаем целевым откликом?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 измеряем пилот: лиды, демо, стоимость демо, срок до первого сигнала?</w:t>
      </w:r>
    </w:p>
    <w:p>
      <w:pPr>
        <w:spacing w:after="80" w:before="160" w:line="240" w:lineRule="auto"/>
      </w:pPr>
      <w:r>
        <w:rPr>
          <w:rFonts w:ascii="Verdana" w:hAnsi="Verdana" w:eastAsia="Verdana"/>
          <w:b/>
          <w:color w:val="26A6E0"/>
          <w:sz w:val="22"/>
        </w:rPr>
        <w:t>Решения по блоку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Что решили</w:t>
            </w:r>
          </w:p>
        </w:tc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Ответственный / срок</w:t>
            </w:r>
          </w:p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Блок 3. Сопровождение клиента после продажи</w:t>
            </w:r>
          </w:p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Тезис для обсуждения</w:t>
      </w:r>
    </w:p>
    <w:p>
      <w:pPr>
        <w:spacing w:after="12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После сделки клиенту нужна понятная точка коммуникации: где ведём историю, где создаём чаты, кто отвечает на каком этапе (онбординг, поддержка, развитие). Цель — выбрать основной контур и правила, чтобы клиент не «терялся» между мессенджерами и CRM.</w:t>
      </w:r>
    </w:p>
    <w:p>
      <w:pPr>
        <w:spacing w:after="80" w:before="80" w:line="240" w:lineRule="auto"/>
      </w:pPr>
      <w:r>
        <w:rPr>
          <w:rFonts w:ascii="Verdana" w:hAnsi="Verdana" w:eastAsia="Verdana"/>
          <w:b/>
          <w:color w:val="26A6E0"/>
          <w:sz w:val="22"/>
        </w:rPr>
        <w:t>Вопросы для обсуждения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Где храним карточку и статус клиента как систему учёта (CRM / другое)?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Где создаём оперативные чаты с клиентом — и это один канал или несколько по ролям?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Кто владелец чата на онбординге и кто подключается при эскалации?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Какие события обязательно логируем после продажи (старт, обучение, первый успех, риск оттока)?</w:t>
      </w:r>
    </w:p>
    <w:p>
      <w:pPr>
        <w:spacing w:after="80" w:before="160" w:line="240" w:lineRule="auto"/>
      </w:pPr>
      <w:r>
        <w:rPr>
          <w:rFonts w:ascii="Verdana" w:hAnsi="Verdana" w:eastAsia="Verdana"/>
          <w:b/>
          <w:color w:val="26A6E0"/>
          <w:sz w:val="22"/>
        </w:rPr>
        <w:t>Решения по блоку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Что решили</w:t>
            </w:r>
          </w:p>
        </w:tc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Ответственный / срок</w:t>
            </w:r>
          </w:p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Блок 4. Модель демонстрации: более продающий формат</w:t>
            </w:r>
          </w:p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Тезис для обсуждения</w:t>
      </w:r>
    </w:p>
    <w:p>
      <w:pPr>
        <w:spacing w:after="12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Демо должно вести к решению, а не только показывать интерфейс. Нужна единая модель: структура встречи, акцент на боли клиента, момент оффера и следующий шаг (тест, подключение, повторный контакт).</w:t>
      </w:r>
    </w:p>
    <w:p>
      <w:pPr>
        <w:spacing w:after="80" w:before="80" w:line="240" w:lineRule="auto"/>
      </w:pPr>
      <w:r>
        <w:rPr>
          <w:rFonts w:ascii="Verdana" w:hAnsi="Verdana" w:eastAsia="Verdana"/>
          <w:b/>
          <w:color w:val="26A6E0"/>
          <w:sz w:val="22"/>
        </w:rPr>
        <w:t>Вопросы для обсуждения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Какая структура демо на 30–40 минут: вступление, боль, показ, оффер, next step?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Что обязательно выявляем до демо (текущий сервис, штат, поддержка, сценарий записи)?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Какой результат демо считаем успешным — и что делаем, если клиент «подумает»?</w:t>
      </w:r>
    </w:p>
    <w:p>
      <w:pPr>
        <w:spacing w:after="60" w:before="0" w:line="240" w:lineRule="auto"/>
      </w:pPr>
      <w:r>
        <w:rPr>
          <w:rFonts w:ascii="Verdana" w:hAnsi="Verdana" w:eastAsia="Verdana"/>
          <w:b w:val="0"/>
          <w:color w:val="1A1A1A"/>
          <w:sz w:val="22"/>
        </w:rPr>
        <w:t>•  Нужны ли разные сценарии демо для Dikidi / Masters / Юклаенс / «пишут вручную»?</w:t>
      </w:r>
    </w:p>
    <w:p>
      <w:pPr>
        <w:spacing w:after="80" w:before="160" w:line="240" w:lineRule="auto"/>
      </w:pPr>
      <w:r>
        <w:rPr>
          <w:rFonts w:ascii="Verdana" w:hAnsi="Verdana" w:eastAsia="Verdana"/>
          <w:b/>
          <w:color w:val="26A6E0"/>
          <w:sz w:val="22"/>
        </w:rPr>
        <w:t>Решения по блоку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Что решили</w:t>
            </w:r>
          </w:p>
        </w:tc>
        <w:tc>
          <w:tcPr>
            <w:tcW w:type="dxa" w:w="4986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Ответственный / срок</w:t>
            </w:r>
          </w:p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  <w:tr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  <w:tc>
          <w:tcPr>
            <w:tcW w:type="dxa" w:w="4986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767677"/>
                <w:sz w:val="22"/>
              </w:rPr>
              <w:t xml:space="preserve">  </w:t>
            </w:r>
          </w:p>
          <w:p/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6A6E0" w:val="clear"/>
            <w:tcBorders>
              <w:top w:val="single" w:sz="4" w:color="26A6E0"/>
              <w:left w:val="single" w:sz="4" w:color="26A6E0"/>
              <w:bottom w:val="single" w:sz="4" w:color="26A6E0"/>
              <w:right w:val="single" w:sz="4" w:color="26A6E0"/>
            </w:tcBorders>
          </w:tcPr>
          <w:p>
            <w:pPr>
              <w:spacing w:before="80" w:after="80"/>
            </w:pPr>
            <w:r>
              <w:rPr>
                <w:rFonts w:ascii="Verdana" w:hAnsi="Verdana" w:eastAsia="Verdana"/>
                <w:b/>
                <w:color w:val="FFFFFF"/>
                <w:sz w:val="26"/>
              </w:rPr>
              <w:t>Итоговая сводка встречи</w:t>
            </w:r>
          </w:p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Топ-решения дня (заполнить в конце)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324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3324"/>
            <w:shd w:fill="1A1A1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/>
                <w:color w:val="FFFFFF"/>
                <w:sz w:val="20"/>
              </w:rPr>
              <w:t>Владелец / срок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>1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>2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>3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>4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</w:tr>
      <w:tr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>5</w:t>
            </w:r>
          </w:p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  <w:tc>
          <w:tcPr>
            <w:tcW w:type="dxa" w:w="332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Verdana" w:hAnsi="Verdana" w:eastAsia="Verdana"/>
                <w:b w:val="0"/>
                <w:color w:val="1A1A1A"/>
                <w:sz w:val="22"/>
              </w:rPr>
              <w:t xml:space="preserve"> </w:t>
            </w:r>
          </w:p>
          <w:p/>
        </w:tc>
      </w:tr>
    </w:tbl>
    <w:p/>
    <w:p>
      <w:pPr>
        <w:spacing w:after="80" w:before="0" w:line="240" w:lineRule="auto"/>
      </w:pPr>
      <w:r>
        <w:rPr>
          <w:rFonts w:ascii="Verdana" w:hAnsi="Verdana" w:eastAsia="Verdana"/>
          <w:b/>
          <w:color w:val="26A6E0"/>
          <w:sz w:val="22"/>
        </w:rPr>
        <w:t>Что сознательно не решили / вынесли на следующую встречу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 </w:t>
            </w:r>
          </w:p>
          <w:p/>
        </w:tc>
      </w:tr>
      <w:tr>
        <w:tc>
          <w:tcPr>
            <w:tcW w:type="dxa" w:w="9972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 </w:t>
            </w:r>
          </w:p>
          <w:p/>
        </w:tc>
      </w:tr>
      <w:tr>
        <w:tc>
          <w:tcPr>
            <w:tcW w:type="dxa" w:w="9972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 </w:t>
            </w:r>
          </w:p>
          <w:p/>
        </w:tc>
      </w:tr>
      <w:tr>
        <w:tc>
          <w:tcPr>
            <w:tcW w:type="dxa" w:w="9972"/>
            <w:shd w:fill="F5F5F5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 </w:t>
            </w:r>
          </w:p>
          <w:p/>
        </w:tc>
      </w:tr>
    </w:tbl>
    <w:p/>
    <w:p>
      <w:pPr>
        <w:spacing w:after="0" w:before="0" w:line="240" w:lineRule="auto"/>
      </w:pPr>
      <w:r>
        <w:rPr>
          <w:rFonts w:ascii="Verdana" w:hAnsi="Verdana" w:eastAsia="Verdana"/>
          <w:b w:val="0"/>
          <w:color w:val="767677"/>
          <w:sz w:val="18"/>
        </w:rPr>
        <w:t>Документ для заполнения на встрече. Стиль оформления: ГК Форус (синий / чёрный / белый).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