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Вопросы для прозвона менеджерами ЦКС</w:t>
      </w:r>
    </w:p>
    <w:p>
      <w:r>
        <w:t>Подготовка к конференции. Обратная связь по 1С:Кабинет сотрудника</w:t>
      </w:r>
    </w:p>
    <w:p/>
    <w:p>
      <w:r>
        <w:t>1. Почему внедрили 1С:Кабинет сотрудника?</w:t>
      </w:r>
    </w:p>
    <w:p>
      <w:r>
        <w:t>2. Есть ли официальный приказ о переходе на КЭДО или используете Кабинет сотрудника частично?</w:t>
      </w:r>
    </w:p>
    <w:p>
      <w:r>
        <w:t>3. Какой процент сотрудников работает удалённо?</w:t>
      </w:r>
    </w:p>
    <w:p>
      <w:r>
        <w:t>4. Какой процент сотрудников работает в офисе?</w:t>
      </w:r>
    </w:p>
    <w:p>
      <w:r>
        <w:t>5. Сколько штатных сотрудников отказалось от перехода на КЭДО?</w:t>
      </w:r>
    </w:p>
    <w:p>
      <w:r>
        <w:t>6. Какой процент отказавшихся — предпенсионного возраста?</w:t>
      </w:r>
    </w:p>
    <w:p>
      <w:r>
        <w:t>7. Как изменился процесс работы после внедрения: стал удобнее и быстрее или сложнее и дольше?</w:t>
      </w:r>
    </w:p>
    <w:p>
      <w:r>
        <w:t>8. Сомневалось ли руководство в необходимости внедрения КЭДО?</w:t>
      </w:r>
    </w:p>
    <w:p>
      <w:r>
        <w:t>9. Как руководство оценивает итоги перехода на КЭДО?</w:t>
      </w:r>
    </w:p>
    <w:p>
      <w:r>
        <w:t>10. Окупилось ли внедрение 1С:Кабинета сотрудника? На каких примерах это видно?</w:t>
      </w:r>
    </w:p>
    <w:p>
      <w:r>
        <w:t>11. Внедряли своими силами или с привлечением внешних специалистов?</w:t>
      </w:r>
    </w:p>
    <w:p>
      <w:r>
        <w:t>12. Реально ли сотрудники используют Кабинет сотрудника в работе?</w:t>
      </w:r>
    </w:p>
    <w:p>
      <w:r>
        <w:t>13. Как обучали сотрудников работе в системе?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