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</w:tcPr>
          <w:p>
            <w:r>
              <w:drawing>
                <wp:inline xmlns:a="http://schemas.openxmlformats.org/drawingml/2006/main" xmlns:pic="http://schemas.openxmlformats.org/drawingml/2006/picture">
                  <wp:extent cx="1152000" cy="49966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rus_logo_wor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4996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59"/>
          </w:tcPr>
          <w:p>
            <w:pPr>
              <w:spacing w:after="0"/>
              <w:jc w:val="right"/>
            </w:pPr>
            <w:r>
              <w:rPr>
                <w:rFonts w:ascii="Arial" w:hAnsi="Arial" w:eastAsia="Arial"/>
                <w:b/>
                <w:color w:val="5C5C5C"/>
                <w:sz w:val="16"/>
              </w:rPr>
              <w:t>Группа компаний «Форус»</w:t>
            </w:r>
          </w:p>
          <w:p>
            <w:pPr>
              <w:spacing w:after="0"/>
              <w:jc w:val="right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+7 (3952) 78-00-00  ·  www.forus.ru</w:t>
            </w:r>
          </w:p>
        </w:tc>
      </w:tr>
    </w:tbl>
    <w:p>
      <w:pPr>
        <w:spacing w:after="160"/>
        <w:pBdr>
          <w:bottom w:val="single" w:sz="28" w:space="1" w:color="F0C14A"/>
        </w:pBdr>
      </w:pPr>
    </w:p>
    <w:p>
      <w:pPr>
        <w:spacing w:after="40" w:before="0"/>
        <w:jc w:val="center"/>
      </w:pPr>
      <w:r>
        <w:rPr>
          <w:rFonts w:ascii="Arial" w:hAnsi="Arial" w:eastAsia="Arial"/>
          <w:b/>
          <w:color w:val="2B2B2B"/>
          <w:sz w:val="40"/>
        </w:rPr>
        <w:t>1С:Кабинет сотрудника</w:t>
      </w:r>
    </w:p>
    <w:p>
      <w:pPr>
        <w:spacing w:after="80" w:before="0"/>
        <w:jc w:val="center"/>
      </w:pPr>
      <w:r>
        <w:rPr>
          <w:rFonts w:ascii="Arial" w:hAnsi="Arial" w:eastAsia="Arial"/>
          <w:b w:val="0"/>
          <w:color w:val="5C5C5C"/>
          <w:sz w:val="20"/>
        </w:rPr>
        <w:t>Электронные кадровые документы внутри вашей 1С  ·  750 личных кабинетов</w:t>
      </w:r>
    </w:p>
    <w:p>
      <w:pPr>
        <w:spacing w:after="200" w:before="0"/>
        <w:jc w:val="center"/>
      </w:pPr>
      <w:r>
        <w:rPr>
          <w:rFonts w:ascii="Arial" w:hAnsi="Arial" w:eastAsia="Arial"/>
          <w:b/>
          <w:color w:val="9A7A10"/>
          <w:sz w:val="20"/>
        </w:rPr>
        <w:t>Самое лёгкое внедрение  ·  без новой платформы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6" w:space="0" w:color="F0C14A"/>
          <w:left w:val="single" w:sz="16" w:space="0" w:color="F0C14A"/>
          <w:bottom w:val="single" w:sz="16" w:space="0" w:color="F0C14A"/>
          <w:right w:val="single" w:sz="16" w:space="0" w:color="F0C14A"/>
          <w:insideH w:val="single" w:sz="16" w:space="0" w:color="F0C14A"/>
          <w:insideV w:val="single" w:sz="16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0C14A" w:val="clear"/>
          </w:tcPr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2B2B2B"/>
                <w:sz w:val="16"/>
              </w:rPr>
              <w:t>вы платите только за кабинеты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z w:val="44"/>
              </w:rPr>
              <w:t>223 200 ₽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750 кабинетов / 12 мес.  ·  ≈ 25 ₽/мес. на сотрудника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z w:val="18"/>
              </w:rPr>
              <w:t>пакеты 500 + 200 + 50</w:t>
            </w:r>
          </w:p>
        </w:tc>
        <w:tc>
          <w:tcPr>
            <w:tcW w:type="dxa" w:w="5159"/>
            <w:shd w:fill="F0C14A" w:val="clear"/>
          </w:tcPr>
          <w:p>
            <w:r>
              <w:rPr>
                <w:rFonts w:ascii="Arial" w:hAnsi="Arial" w:eastAsia="Arial"/>
                <w:b/>
                <w:sz w:val="22"/>
              </w:rPr>
              <w:t>Акция «Больше, чем кешбэк!»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5 часов линии консультаций — в подарок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(рыночная выгода 18 300 ₽)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≈ 4 часа — настройка и запуск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1 час — запас на вопросы по 1С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За часы вы не платите отдельно.</w:t>
            </w:r>
          </w:p>
        </w:tc>
      </w:tr>
      <w:tr>
        <w:tc>
          <w:tcPr>
            <w:tcW w:type="dxa" w:w="5159"/>
            <w:shd w:fill="FFF6D8" w:val="clear"/>
          </w:tcPr>
          <w:p>
            <w:r>
              <w:rPr>
                <w:rFonts w:ascii="Arial" w:hAnsi="Arial" w:eastAsia="Arial"/>
                <w:b/>
                <w:sz w:val="20"/>
              </w:rPr>
              <w:t>Итого к оплате = только пакет кабинетов</w:t>
            </w:r>
          </w:p>
        </w:tc>
        <w:tc>
          <w:tcPr>
            <w:tcW w:type="dxa" w:w="5159"/>
            <w:shd w:fill="FFF6D8" w:val="clear"/>
          </w:tcPr>
          <w:p>
            <w:pPr>
              <w:jc w:val="right"/>
            </w:pPr>
            <w:r>
              <w:rPr>
                <w:rFonts w:ascii="Arial" w:hAnsi="Arial" w:eastAsia="Arial"/>
                <w:b/>
                <w:sz w:val="28"/>
              </w:rPr>
              <w:t>223 200 ₽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p>
      <w:pPr>
        <w:spacing w:after="80" w:before="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Что получает компания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До 70% меньше рутины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Расчётные листки, справки и отпуска — у сотрудника в телефоне.</w:t>
            </w:r>
          </w:p>
        </w:tc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Меньше ручного ввода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Заявления сами становятся приказами и записями в 1С.</w:t>
            </w:r>
          </w:p>
        </w:tc>
      </w:tr>
      <w:tr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Защита от штрафов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Документы вовремя, ознакомление подтверждено, архив электронный.</w:t>
            </w:r>
          </w:p>
        </w:tc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Удалённый приём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Трудовой договор и локальные акты — без визита в офис.</w:t>
            </w:r>
          </w:p>
        </w:tc>
      </w:tr>
      <w:tr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Кадровик в привычной 1С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Не нужно учить новую кадровую систему.</w:t>
            </w:r>
          </w:p>
        </w:tc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ИТ без лишней нагрузки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Сотрудникам не нужны клиентские лицензии 1С.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10318"/>
      </w:tblGrid>
      <w:tr>
        <w:tc>
          <w:tcPr>
            <w:tcW w:type="dxa" w:w="10318"/>
            <w:shd w:fill="FFF6D8" w:val="clear"/>
          </w:tcPr>
          <w:p>
            <w:r>
              <w:rPr>
                <w:rFonts w:ascii="Arial" w:hAnsi="Arial" w:eastAsia="Arial"/>
                <w:b/>
                <w:sz w:val="22"/>
              </w:rPr>
              <w:t>Почему это выгоднее типичных предложений рынка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• Отдельная кадровая платформа не покупается. Внедрение не тянется месяцами.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• Настройка и стартовая поддержка уже внутри подарка — не отдельная строка счёта.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• Документы остаются в вашей базе 1С, а не только в облаке стороннего оператора.</w:t>
            </w:r>
          </w:p>
        </w:tc>
      </w:tr>
    </w:tbl>
    <w:p>
      <w:pPr>
        <w:spacing w:after="200" w:before="0"/>
      </w:pPr>
      <w:r>
        <w:rPr>
          <w:rFonts w:ascii="Arial" w:hAnsi="Arial" w:eastAsia="Arial"/>
          <w:b w:val="0"/>
          <w:color w:val="2B2B2B"/>
          <w:sz w:val="20"/>
        </w:rPr>
      </w:r>
    </w:p>
    <w:p>
      <w:pPr>
        <w:spacing w:after="80" w:before="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Сроки и порядок запуска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2064"/>
        <w:gridCol w:w="2064"/>
        <w:gridCol w:w="2064"/>
        <w:gridCol w:w="2064"/>
        <w:gridCol w:w="2064"/>
      </w:tblGrid>
      <w:tr>
        <w:tc>
          <w:tcPr>
            <w:tcW w:type="dxa" w:w="2064"/>
            <w:shd w:fill="FFFBEA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1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Договор и доступы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2–4 дня</w:t>
            </w:r>
          </w:p>
        </w:tc>
        <w:tc>
          <w:tcPr>
            <w:tcW w:type="dxa" w:w="2064"/>
            <w:shd w:fill="FFFBEA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2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Настройка сервиса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≈ 4 часа</w:t>
            </w:r>
          </w:p>
        </w:tc>
        <w:tc>
          <w:tcPr>
            <w:tcW w:type="dxa" w:w="2064"/>
            <w:shd w:fill="FFFBEA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3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Пилот на группе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до 1 недели</w:t>
            </w:r>
          </w:p>
        </w:tc>
        <w:tc>
          <w:tcPr>
            <w:tcW w:type="dxa" w:w="2064"/>
            <w:shd w:fill="FFFBEA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4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Все 750 кабинетов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2–3 недели</w:t>
            </w:r>
          </w:p>
        </w:tc>
        <w:tc>
          <w:tcPr>
            <w:tcW w:type="dxa" w:w="2064"/>
            <w:shd w:fill="FFFBEA" w:val="clear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9A7A10"/>
                <w:sz w:val="24"/>
              </w:rPr>
              <w:t>5</w:t>
            </w:r>
          </w:p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Запас на вопросы</w:t>
            </w:r>
          </w:p>
          <w:p>
            <w:pPr>
              <w:jc w:val="center"/>
            </w:pPr>
            <w:r>
              <w:rPr>
                <w:rFonts w:ascii="Arial" w:hAnsi="Arial" w:eastAsia="Arial"/>
                <w:b w:val="0"/>
                <w:color w:val="5C5C5C"/>
                <w:sz w:val="16"/>
              </w:rPr>
              <w:t>1 час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p>
      <w:pPr>
        <w:spacing w:after="80" w:before="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С чем сравниваете на тендере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F0C14A"/>
          <w:left w:val="single" w:sz="8" w:space="0" w:color="F0C14A"/>
          <w:bottom w:val="single" w:sz="8" w:space="0" w:color="F0C14A"/>
          <w:right w:val="single" w:sz="8" w:space="0" w:color="F0C14A"/>
          <w:insideH w:val="single" w:sz="8" w:space="0" w:color="F0C14A"/>
          <w:insideV w:val="single" w:sz="8" w:space="0" w:color="F0C14A"/>
        </w:tblBorders>
      </w:tblPr>
      <w:tblGrid>
        <w:gridCol w:w="3439"/>
        <w:gridCol w:w="3439"/>
        <w:gridCol w:w="3439"/>
      </w:tblGrid>
      <w:tr>
        <w:tc>
          <w:tcPr>
            <w:tcW w:type="dxa" w:w="3439"/>
            <w:shd w:fill="F0C14A" w:val="clear"/>
          </w:tcPr>
          <w:p>
            <w:r>
              <w:rPr>
                <w:rFonts w:ascii="Arial" w:hAnsi="Arial" w:eastAsia="Arial"/>
                <w:b/>
                <w:sz w:val="18"/>
              </w:rPr>
              <w:t>Критерий</w:t>
            </w:r>
          </w:p>
        </w:tc>
        <w:tc>
          <w:tcPr>
            <w:tcW w:type="dxa" w:w="3439"/>
            <w:shd w:fill="F0C14A" w:val="clear"/>
          </w:tcPr>
          <w:p>
            <w:r>
              <w:rPr>
                <w:rFonts w:ascii="Arial" w:hAnsi="Arial" w:eastAsia="Arial"/>
                <w:b/>
                <w:sz w:val="18"/>
              </w:rPr>
              <w:t>Предложение Форус</w:t>
            </w:r>
          </w:p>
        </w:tc>
        <w:tc>
          <w:tcPr>
            <w:tcW w:type="dxa" w:w="3439"/>
            <w:shd w:fill="F0C14A" w:val="clear"/>
          </w:tcPr>
          <w:p>
            <w:r>
              <w:rPr>
                <w:rFonts w:ascii="Arial" w:hAnsi="Arial" w:eastAsia="Arial"/>
                <w:b/>
                <w:sz w:val="18"/>
              </w:rPr>
              <w:t>Типичные альтернативы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Запуск</w:t>
            </w:r>
          </w:p>
        </w:tc>
        <w:tc>
          <w:tcPr>
            <w:tcW w:type="dxa" w:w="3439"/>
            <w:shd w:fill="E8F5E9" w:val="clear"/>
          </w:tcPr>
          <w:p>
            <w:r>
              <w:rPr>
                <w:rFonts w:ascii="Arial" w:hAnsi="Arial" w:eastAsia="Arial"/>
                <w:b w:val="0"/>
                <w:color w:val="2E7D32"/>
                <w:sz w:val="16"/>
              </w:rPr>
              <w:t>Типовая настройка ≈ 4 часа</w:t>
            </w:r>
          </w:p>
        </w:tc>
        <w:tc>
          <w:tcPr>
            <w:tcW w:type="dxa" w:w="3439"/>
            <w:shd w:fill="FFEBEE" w:val="clear"/>
          </w:tcPr>
          <w:p>
            <w:r>
              <w:rPr>
                <w:rFonts w:ascii="Arial" w:hAnsi="Arial" w:eastAsia="Arial"/>
                <w:b w:val="0"/>
                <w:color w:val="B71C1C"/>
                <w:sz w:val="16"/>
              </w:rPr>
              <w:t>Часто долгое внедрение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Архитектура</w:t>
            </w:r>
          </w:p>
        </w:tc>
        <w:tc>
          <w:tcPr>
            <w:tcW w:type="dxa" w:w="3439"/>
            <w:shd w:fill="E8F5E9" w:val="clear"/>
          </w:tcPr>
          <w:p>
            <w:r>
              <w:rPr>
                <w:rFonts w:ascii="Arial" w:hAnsi="Arial" w:eastAsia="Arial"/>
                <w:b w:val="0"/>
                <w:color w:val="2E7D32"/>
                <w:sz w:val="16"/>
              </w:rPr>
              <w:t>Работает внутри вашей 1С</w:t>
            </w:r>
          </w:p>
        </w:tc>
        <w:tc>
          <w:tcPr>
            <w:tcW w:type="dxa" w:w="3439"/>
            <w:shd w:fill="FFEBEE" w:val="clear"/>
          </w:tcPr>
          <w:p>
            <w:r>
              <w:rPr>
                <w:rFonts w:ascii="Arial" w:hAnsi="Arial" w:eastAsia="Arial"/>
                <w:b w:val="0"/>
                <w:color w:val="B71C1C"/>
                <w:sz w:val="16"/>
              </w:rPr>
              <w:t>Отдельная кадровая платформа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Лицензии</w:t>
            </w:r>
          </w:p>
        </w:tc>
        <w:tc>
          <w:tcPr>
            <w:tcW w:type="dxa" w:w="3439"/>
            <w:shd w:fill="E8F5E9" w:val="clear"/>
          </w:tcPr>
          <w:p>
            <w:r>
              <w:rPr>
                <w:rFonts w:ascii="Arial" w:hAnsi="Arial" w:eastAsia="Arial"/>
                <w:b w:val="0"/>
                <w:color w:val="2E7D32"/>
                <w:sz w:val="16"/>
              </w:rPr>
              <w:t>Без клиентских лицензий 1С на сотрудников</w:t>
            </w:r>
          </w:p>
        </w:tc>
        <w:tc>
          <w:tcPr>
            <w:tcW w:type="dxa" w:w="3439"/>
            <w:shd w:fill="FFEBEE" w:val="clear"/>
          </w:tcPr>
          <w:p>
            <w:r>
              <w:rPr>
                <w:rFonts w:ascii="Arial" w:hAnsi="Arial" w:eastAsia="Arial"/>
                <w:b w:val="0"/>
                <w:color w:val="B71C1C"/>
                <w:sz w:val="16"/>
              </w:rPr>
              <w:t>Новые доступы и интеграции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Хранение</w:t>
            </w:r>
          </w:p>
        </w:tc>
        <w:tc>
          <w:tcPr>
            <w:tcW w:type="dxa" w:w="3439"/>
            <w:shd w:fill="E8F5E9" w:val="clear"/>
          </w:tcPr>
          <w:p>
            <w:r>
              <w:rPr>
                <w:rFonts w:ascii="Arial" w:hAnsi="Arial" w:eastAsia="Arial"/>
                <w:b w:val="0"/>
                <w:color w:val="2E7D32"/>
                <w:sz w:val="16"/>
              </w:rPr>
              <w:t>Документы в вашей базе 1С</w:t>
            </w:r>
          </w:p>
        </w:tc>
        <w:tc>
          <w:tcPr>
            <w:tcW w:type="dxa" w:w="3439"/>
            <w:shd w:fill="FFEBEE" w:val="clear"/>
          </w:tcPr>
          <w:p>
            <w:r>
              <w:rPr>
                <w:rFonts w:ascii="Arial" w:hAnsi="Arial" w:eastAsia="Arial"/>
                <w:b w:val="0"/>
                <w:color w:val="B71C1C"/>
                <w:sz w:val="16"/>
              </w:rPr>
              <w:t>Облако оператора, часто платно</w:t>
            </w:r>
          </w:p>
        </w:tc>
      </w:tr>
      <w:tr>
        <w:tc>
          <w:tcPr>
            <w:tcW w:type="dxa" w:w="3439"/>
          </w:tcPr>
          <w:p>
            <w:r>
              <w:rPr>
                <w:rFonts w:ascii="Arial" w:hAnsi="Arial" w:eastAsia="Arial"/>
                <w:b/>
                <w:color w:val="2B2B2B"/>
                <w:sz w:val="16"/>
              </w:rPr>
              <w:t>Старт работ</w:t>
            </w:r>
          </w:p>
        </w:tc>
        <w:tc>
          <w:tcPr>
            <w:tcW w:type="dxa" w:w="3439"/>
            <w:shd w:fill="E8F5E9" w:val="clear"/>
          </w:tcPr>
          <w:p>
            <w:r>
              <w:rPr>
                <w:rFonts w:ascii="Arial" w:hAnsi="Arial" w:eastAsia="Arial"/>
                <w:b w:val="0"/>
                <w:color w:val="2E7D32"/>
                <w:sz w:val="16"/>
              </w:rPr>
              <w:t>Часы поддержки — подарок</w:t>
            </w:r>
          </w:p>
        </w:tc>
        <w:tc>
          <w:tcPr>
            <w:tcW w:type="dxa" w:w="3439"/>
            <w:shd w:fill="FFEBEE" w:val="clear"/>
          </w:tcPr>
          <w:p>
            <w:r>
              <w:rPr>
                <w:rFonts w:ascii="Arial" w:hAnsi="Arial" w:eastAsia="Arial"/>
                <w:b w:val="0"/>
                <w:color w:val="B71C1C"/>
                <w:sz w:val="16"/>
              </w:rPr>
              <w:t>Внедрение отдельной строкой</w:t>
            </w:r>
          </w:p>
        </w:tc>
      </w:tr>
    </w:tbl>
    <w:p>
      <w:pPr>
        <w:spacing w:after="160" w:before="0"/>
      </w:pPr>
      <w:r>
        <w:rPr>
          <w:rFonts w:ascii="Arial" w:hAnsi="Arial" w:eastAsia="Arial"/>
          <w:b w:val="0"/>
          <w:color w:val="2B2B2B"/>
          <w:sz w:val="20"/>
        </w:rPr>
      </w:r>
    </w:p>
    <w:p>
      <w:pPr>
        <w:spacing w:after="80" w:before="0"/>
        <w:pBdr>
          <w:bottom w:val="single" w:sz="22" w:space="2" w:color="F0C14A"/>
        </w:pBdr>
      </w:pPr>
      <w:r>
        <w:rPr>
          <w:rFonts w:ascii="Arial" w:hAnsi="Arial" w:eastAsia="Arial"/>
          <w:b/>
          <w:color w:val="2B2B2B"/>
          <w:sz w:val="26"/>
        </w:rPr>
        <w:t>Условия — коротко и по делу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space="0" w:color="F0C14A"/>
          <w:left w:val="single" w:sz="10" w:space="0" w:color="F0C14A"/>
          <w:bottom w:val="single" w:sz="10" w:space="0" w:color="F0C14A"/>
          <w:right w:val="single" w:sz="10" w:space="0" w:color="F0C14A"/>
          <w:insideH w:val="single" w:sz="10" w:space="0" w:color="F0C14A"/>
          <w:insideV w:val="single" w:sz="10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Электронная подпись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Выпускается сотрудникам бесплатно.</w:t>
            </w:r>
          </w:p>
        </w:tc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Шаблоны документов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Положение, уведомления и согласия — в комплекте.</w:t>
            </w:r>
          </w:p>
        </w:tc>
      </w:tr>
      <w:tr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Формат работ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Удалённо. Выезд и нетиповые доработки — отдельно.</w:t>
            </w:r>
          </w:p>
        </w:tc>
        <w:tc>
          <w:tcPr>
            <w:tcW w:type="dxa" w:w="5159"/>
            <w:shd w:fill="FFFBEA" w:val="clear"/>
          </w:tcPr>
          <w:p>
            <w:r>
              <w:rPr>
                <w:rFonts w:ascii="Arial" w:hAnsi="Arial" w:eastAsia="Arial"/>
                <w:b/>
                <w:sz w:val="20"/>
              </w:rPr>
              <w:t>Срок предложения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Действует 30 дней с даты отправки.</w:t>
            </w:r>
          </w:p>
        </w:tc>
      </w:tr>
    </w:tbl>
    <w:p>
      <w:pPr>
        <w:spacing w:after="200" w:before="0"/>
      </w:pPr>
      <w:r>
        <w:rPr>
          <w:rFonts w:ascii="Arial" w:hAnsi="Arial" w:eastAsia="Arial"/>
          <w:b w:val="0"/>
          <w:color w:val="2B2B2B"/>
          <w:sz w:val="20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4" w:space="0" w:color="F0C14A"/>
          <w:left w:val="single" w:sz="14" w:space="0" w:color="F0C14A"/>
          <w:bottom w:val="single" w:sz="14" w:space="0" w:color="F0C14A"/>
          <w:right w:val="single" w:sz="14" w:space="0" w:color="F0C14A"/>
          <w:insideH w:val="single" w:sz="14" w:space="0" w:color="F0C14A"/>
          <w:insideV w:val="single" w:sz="14" w:space="0" w:color="F0C14A"/>
        </w:tblBorders>
      </w:tblPr>
      <w:tblGrid>
        <w:gridCol w:w="5159"/>
        <w:gridCol w:w="5159"/>
      </w:tblGrid>
      <w:tr>
        <w:tc>
          <w:tcPr>
            <w:tcW w:type="dxa" w:w="5159"/>
            <w:shd w:fill="F0C14A" w:val="clear"/>
          </w:tcPr>
          <w:p>
            <w:r>
              <w:rPr>
                <w:rFonts w:ascii="Arial" w:hAnsi="Arial" w:eastAsia="Arial"/>
                <w:b w:val="0"/>
                <w:sz w:val="16"/>
              </w:rPr>
              <w:t>Ваш менеджер</w:t>
            </w:r>
          </w:p>
          <w:p>
            <w:r>
              <w:rPr>
                <w:rFonts w:ascii="Arial" w:hAnsi="Arial" w:eastAsia="Arial"/>
                <w:b/>
                <w:sz w:val="26"/>
              </w:rPr>
              <w:t>Данил Кургузов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dkurguzov@forus.ru</w:t>
            </w:r>
          </w:p>
          <w:p>
            <w:r>
              <w:rPr>
                <w:rFonts w:ascii="Arial" w:hAnsi="Arial" w:eastAsia="Arial"/>
                <w:b w:val="0"/>
                <w:sz w:val="18"/>
              </w:rPr>
              <w:t>+7 (3952) 78-00-00</w:t>
            </w:r>
          </w:p>
        </w:tc>
        <w:tc>
          <w:tcPr>
            <w:tcW w:type="dxa" w:w="5159"/>
            <w:shd w:fill="FFF6D8" w:val="clear"/>
          </w:tcPr>
          <w:p>
            <w:r>
              <w:rPr>
                <w:rFonts w:ascii="Arial" w:hAnsi="Arial" w:eastAsia="Arial"/>
                <w:b/>
                <w:sz w:val="22"/>
              </w:rPr>
              <w:t>ГК «Форус»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Покажем на демо кадровой службе и ИТ-отделу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Готовы подключить под тендер</w:t>
            </w:r>
          </w:p>
          <w:p>
            <w:r>
              <w:rPr>
                <w:rFonts w:ascii="Arial" w:hAnsi="Arial" w:eastAsia="Arial"/>
                <w:b w:val="0"/>
                <w:color w:val="5C5C5C"/>
                <w:sz w:val="18"/>
              </w:rPr>
              <w:t>www.forus.ru</w:t>
            </w:r>
          </w:p>
        </w:tc>
      </w:tr>
    </w:tbl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