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12000" cy="65580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rus_logo_wor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6558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9"/>
          </w:tcPr>
          <w:p>
            <w:pPr>
              <w:spacing w:before="120" w:after="0"/>
              <w:jc w:val="righ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Группа компаний «Форус»</w:t>
            </w:r>
          </w:p>
          <w:p>
            <w:pPr>
              <w:spacing w:before="0" w:after="0"/>
              <w:jc w:val="right"/>
            </w:pPr>
            <w:r>
              <w:rPr>
                <w:rFonts w:ascii="Arial" w:hAnsi="Arial" w:eastAsia="Arial"/>
                <w:b w:val="0"/>
                <w:color w:val="555555"/>
                <w:sz w:val="18"/>
              </w:rPr>
              <w:t>г. Иркутск, ул. Ямская, 1/1</w:t>
            </w:r>
          </w:p>
          <w:p>
            <w:pPr>
              <w:spacing w:before="0" w:after="0"/>
              <w:jc w:val="right"/>
            </w:pPr>
            <w:r>
              <w:rPr>
                <w:rFonts w:ascii="Arial" w:hAnsi="Arial" w:eastAsia="Arial"/>
                <w:b w:val="0"/>
                <w:color w:val="555555"/>
                <w:sz w:val="18"/>
              </w:rPr>
              <w:t>+7 (3952) 78-00-00  ·  www.forus.ru</w:t>
            </w:r>
          </w:p>
        </w:tc>
      </w:tr>
    </w:tbl>
    <w:p>
      <w:pPr>
        <w:spacing w:before="80" w:after="160"/>
        <w:pBdr>
          <w:bottom w:val="single" w:sz="24" w:space="1" w:color="E8B84A"/>
        </w:pBdr>
      </w:pPr>
    </w:p>
    <w:p>
      <w:pPr>
        <w:spacing w:after="40"/>
        <w:jc w:val="center"/>
      </w:pPr>
      <w:r>
        <w:rPr>
          <w:rFonts w:ascii="Arial" w:hAnsi="Arial" w:eastAsia="Arial"/>
          <w:b/>
          <w:color w:val="1E1E1E"/>
          <w:sz w:val="36"/>
        </w:rPr>
        <w:t>КОММЕРЧЕСКОЕ ПРЕДЛОЖЕНИЕ</w:t>
      </w:r>
    </w:p>
    <w:p>
      <w:pPr>
        <w:spacing w:after="80"/>
        <w:jc w:val="center"/>
      </w:pPr>
      <w:r>
        <w:rPr>
          <w:rFonts w:ascii="Arial" w:hAnsi="Arial" w:eastAsia="Arial"/>
          <w:b w:val="0"/>
          <w:color w:val="555555"/>
          <w:sz w:val="22"/>
        </w:rPr>
        <w:t>сервисы электронных перевозочных документов</w:t>
      </w:r>
    </w:p>
    <w:p>
      <w:pPr>
        <w:spacing w:after="160"/>
        <w:jc w:val="center"/>
      </w:pPr>
      <w:r>
        <w:rPr>
          <w:rFonts w:ascii="Arial" w:hAnsi="Arial" w:eastAsia="Arial"/>
          <w:b/>
          <w:color w:val="1E1E1E"/>
          <w:sz w:val="26"/>
        </w:rPr>
        <w:t>1С-ЭПД</w:t>
      </w:r>
      <w:r>
        <w:rPr>
          <w:rFonts w:ascii="Arial" w:hAnsi="Arial" w:eastAsia="Arial"/>
          <w:b w:val="0"/>
          <w:color w:val="E8B84A"/>
          <w:sz w:val="26"/>
        </w:rPr>
        <w:t xml:space="preserve">  ·  </w:t>
      </w:r>
      <w:r>
        <w:rPr>
          <w:rFonts w:ascii="Arial" w:hAnsi="Arial" w:eastAsia="Arial"/>
          <w:b/>
          <w:color w:val="1E1E1E"/>
          <w:sz w:val="26"/>
        </w:rPr>
        <w:t>Доки.Логистика</w:t>
      </w:r>
    </w:p>
    <w:p>
      <w:pPr>
        <w:spacing w:after="160"/>
      </w:pPr>
      <w:r>
        <w:rPr>
          <w:rFonts w:ascii="Arial" w:hAnsi="Arial" w:eastAsia="Arial"/>
          <w:b w:val="0"/>
          <w:color w:val="1E1E1E"/>
          <w:sz w:val="20"/>
        </w:rPr>
        <w:t xml:space="preserve">С 01.09.2026 г. вступает в силу Федеральный закон от 07.06.2025 № 140-ФЗ: переход на электронные перевозочные документы (ЭТрН, ЭЗЗ, экспедиторские документы, ЭПЛ) становится обязательным. ГК «Форус» предлагает два готовых решения для быстрого и законного старта обмена ЭПД — </w:t>
      </w:r>
      <w:r>
        <w:rPr>
          <w:rFonts w:ascii="Arial" w:hAnsi="Arial" w:eastAsia="Arial"/>
          <w:b/>
          <w:color w:val="1E1E1E"/>
          <w:sz w:val="20"/>
        </w:rPr>
        <w:t>1С-ЭПД</w:t>
      </w:r>
      <w:r>
        <w:rPr>
          <w:rFonts w:ascii="Arial" w:hAnsi="Arial" w:eastAsia="Arial"/>
          <w:b w:val="0"/>
          <w:color w:val="1E1E1E"/>
          <w:sz w:val="20"/>
        </w:rPr>
        <w:t xml:space="preserve"> и </w:t>
      </w:r>
      <w:r>
        <w:rPr>
          <w:rFonts w:ascii="Arial" w:hAnsi="Arial" w:eastAsia="Arial"/>
          <w:b/>
          <w:color w:val="1E1E1E"/>
          <w:sz w:val="20"/>
        </w:rPr>
        <w:t>Доки.Логистика</w:t>
      </w:r>
      <w:r>
        <w:rPr>
          <w:rFonts w:ascii="Arial" w:hAnsi="Arial" w:eastAsia="Arial"/>
          <w:b w:val="0"/>
          <w:color w:val="1E1E1E"/>
          <w:sz w:val="20"/>
        </w:rPr>
        <w:t>.</w:t>
      </w:r>
    </w:p>
    <w:p>
      <w:pPr>
        <w:spacing w:before="280" w:after="120"/>
        <w:pBdr>
          <w:bottom w:val="single" w:sz="18" w:space="4" w:color="E8B84A"/>
        </w:pBdr>
      </w:pPr>
      <w:r>
        <w:rPr>
          <w:rFonts w:ascii="Arial" w:hAnsi="Arial" w:eastAsia="Arial"/>
          <w:b/>
          <w:color w:val="1E1E1E"/>
          <w:sz w:val="28"/>
        </w:rPr>
        <w:t>Плюсы каждого сервиса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0" w:space="0" w:color="E8B84A"/>
          <w:left w:val="single" w:sz="10" w:space="0" w:color="E8B84A"/>
          <w:bottom w:val="single" w:sz="10" w:space="0" w:color="E8B84A"/>
          <w:right w:val="single" w:sz="10" w:space="0" w:color="E8B84A"/>
          <w:insideH w:val="single" w:sz="10" w:space="0" w:color="E8B84A"/>
          <w:insideV w:val="single" w:sz="10" w:space="0" w:color="E8B84A"/>
        </w:tblBorders>
      </w:tblPr>
      <w:tblGrid>
        <w:gridCol w:w="5159"/>
        <w:gridCol w:w="5159"/>
      </w:tblGrid>
      <w:tr>
        <w:tc>
          <w:tcPr>
            <w:tcW w:type="dxa" w:w="5159"/>
            <w:shd w:fill="1E1E1E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1С-ЭПД</w:t>
            </w:r>
          </w:p>
        </w:tc>
        <w:tc>
          <w:tcPr>
            <w:tcW w:type="dxa" w:w="5159"/>
            <w:shd w:fill="1E1E1E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Доки.Логистика</w:t>
            </w:r>
          </w:p>
        </w:tc>
      </w:tr>
      <w:tr>
        <w:tc>
          <w:tcPr>
            <w:tcW w:type="dxa" w:w="5159"/>
            <w:shd w:fill="FFF8E7" w:val="clear"/>
          </w:tcPr>
          <w:p>
            <w:pPr>
              <w:spacing w:after="60" w:before="40"/>
            </w:pPr>
            <w:r>
              <w:rPr>
                <w:rFonts w:ascii="Arial" w:hAnsi="Arial" w:eastAsia="Arial"/>
                <w:b/>
                <w:color w:val="E8B84A"/>
                <w:sz w:val="18"/>
              </w:rPr>
              <w:t xml:space="preserve">●  </w:t>
            </w:r>
            <w:r>
              <w:rPr>
                <w:rFonts w:ascii="Arial" w:hAnsi="Arial" w:eastAsia="Arial"/>
                <w:b w:val="0"/>
                <w:color w:val="1E1E1E"/>
                <w:sz w:val="18"/>
              </w:rPr>
              <w:t>Встроено в типовые конфигурации 1С — без доп. расширений</w:t>
            </w:r>
          </w:p>
          <w:p>
            <w:pPr>
              <w:spacing w:after="60" w:before="40"/>
            </w:pPr>
            <w:r>
              <w:rPr>
                <w:rFonts w:ascii="Arial" w:hAnsi="Arial" w:eastAsia="Arial"/>
                <w:b/>
                <w:color w:val="E8B84A"/>
                <w:sz w:val="18"/>
              </w:rPr>
              <w:t xml:space="preserve">●  </w:t>
            </w:r>
            <w:r>
              <w:rPr>
                <w:rFonts w:ascii="Arial" w:hAnsi="Arial" w:eastAsia="Arial"/>
                <w:b w:val="0"/>
                <w:color w:val="1E1E1E"/>
                <w:sz w:val="18"/>
              </w:rPr>
              <w:t>Поддержка всех форматов ЭПД, требуемых ФНС</w:t>
            </w:r>
          </w:p>
          <w:p>
            <w:pPr>
              <w:spacing w:after="60" w:before="40"/>
            </w:pPr>
            <w:r>
              <w:rPr>
                <w:rFonts w:ascii="Arial" w:hAnsi="Arial" w:eastAsia="Arial"/>
                <w:b/>
                <w:color w:val="E8B84A"/>
                <w:sz w:val="18"/>
              </w:rPr>
              <w:t xml:space="preserve">●  </w:t>
            </w:r>
            <w:r>
              <w:rPr>
                <w:rFonts w:ascii="Arial" w:hAnsi="Arial" w:eastAsia="Arial"/>
                <w:b w:val="0"/>
                <w:color w:val="1E1E1E"/>
                <w:sz w:val="18"/>
              </w:rPr>
              <w:t>Роуминг с другими операторами ИС ЭПД</w:t>
            </w:r>
          </w:p>
          <w:p>
            <w:pPr>
              <w:spacing w:after="60" w:before="40"/>
            </w:pPr>
            <w:r>
              <w:rPr>
                <w:rFonts w:ascii="Arial" w:hAnsi="Arial" w:eastAsia="Arial"/>
                <w:b/>
                <w:color w:val="E8B84A"/>
                <w:sz w:val="18"/>
              </w:rPr>
              <w:t xml:space="preserve">●  </w:t>
            </w:r>
            <w:r>
              <w:rPr>
                <w:rFonts w:ascii="Arial" w:hAnsi="Arial" w:eastAsia="Arial"/>
                <w:b w:val="0"/>
                <w:color w:val="1E1E1E"/>
                <w:sz w:val="18"/>
              </w:rPr>
              <w:t>Мобильное подписание водителем (УКЭП) в ЭТрН</w:t>
            </w:r>
          </w:p>
          <w:p>
            <w:pPr>
              <w:spacing w:after="60" w:before="40"/>
            </w:pPr>
            <w:r>
              <w:rPr>
                <w:rFonts w:ascii="Arial" w:hAnsi="Arial" w:eastAsia="Arial"/>
                <w:b/>
                <w:color w:val="E8B84A"/>
                <w:sz w:val="18"/>
              </w:rPr>
              <w:t xml:space="preserve">●  </w:t>
            </w:r>
            <w:r>
              <w:rPr>
                <w:rFonts w:ascii="Arial" w:hAnsi="Arial" w:eastAsia="Arial"/>
                <w:b w:val="0"/>
                <w:color w:val="1E1E1E"/>
                <w:sz w:val="18"/>
              </w:rPr>
              <w:t>Работа из привычной учётной системы 1С</w:t>
            </w:r>
          </w:p>
          <w:p>
            <w:pPr>
              <w:spacing w:after="60" w:before="40"/>
            </w:pPr>
            <w:r>
              <w:rPr>
                <w:rFonts w:ascii="Arial" w:hAnsi="Arial" w:eastAsia="Arial"/>
                <w:b/>
                <w:color w:val="E8B84A"/>
                <w:sz w:val="18"/>
              </w:rPr>
              <w:t xml:space="preserve">●  </w:t>
            </w:r>
            <w:r>
              <w:rPr>
                <w:rFonts w:ascii="Arial" w:hAnsi="Arial" w:eastAsia="Arial"/>
                <w:b w:val="0"/>
                <w:color w:val="1E1E1E"/>
                <w:sz w:val="18"/>
              </w:rPr>
              <w:t>Бесплатная настройка рабочего места при покупке пакета от 1 000 титулов (акция)</w:t>
            </w:r>
          </w:p>
          <w:p>
            <w:pPr>
              <w:spacing w:after="60" w:before="40"/>
            </w:pPr>
            <w:r>
              <w:rPr>
                <w:rFonts w:ascii="Arial" w:hAnsi="Arial" w:eastAsia="Arial"/>
                <w:b/>
                <w:color w:val="E8B84A"/>
                <w:sz w:val="18"/>
              </w:rPr>
              <w:t xml:space="preserve">●  </w:t>
            </w:r>
            <w:r>
              <w:rPr>
                <w:rFonts w:ascii="Arial" w:hAnsi="Arial" w:eastAsia="Arial"/>
                <w:b w:val="0"/>
                <w:color w:val="1E1E1E"/>
                <w:sz w:val="18"/>
              </w:rPr>
              <w:t>Можно начать с бесплатной конфигурации «1С:Клиент ЭДО»</w:t>
            </w:r>
          </w:p>
        </w:tc>
        <w:tc>
          <w:tcPr>
            <w:tcW w:type="dxa" w:w="5159"/>
            <w:shd w:fill="F7F7FB" w:val="clear"/>
          </w:tcPr>
          <w:p>
            <w:pPr>
              <w:spacing w:after="60" w:before="40"/>
            </w:pPr>
            <w:r>
              <w:rPr>
                <w:rFonts w:ascii="Arial" w:hAnsi="Arial" w:eastAsia="Arial"/>
                <w:b/>
                <w:color w:val="E8B84A"/>
                <w:sz w:val="18"/>
              </w:rPr>
              <w:t xml:space="preserve">●  </w:t>
            </w:r>
            <w:r>
              <w:rPr>
                <w:rFonts w:ascii="Arial" w:hAnsi="Arial" w:eastAsia="Arial"/>
                <w:b w:val="0"/>
                <w:color w:val="1E1E1E"/>
                <w:sz w:val="18"/>
              </w:rPr>
              <w:t>Работа в 1С, веб-кабинете и мобильном приложении независимо</w:t>
            </w:r>
          </w:p>
          <w:p>
            <w:pPr>
              <w:spacing w:after="60" w:before="40"/>
            </w:pPr>
            <w:r>
              <w:rPr>
                <w:rFonts w:ascii="Arial" w:hAnsi="Arial" w:eastAsia="Arial"/>
                <w:b/>
                <w:color w:val="E8B84A"/>
                <w:sz w:val="18"/>
              </w:rPr>
              <w:t xml:space="preserve">●  </w:t>
            </w:r>
            <w:r>
              <w:rPr>
                <w:rFonts w:ascii="Arial" w:hAnsi="Arial" w:eastAsia="Arial"/>
                <w:b w:val="0"/>
                <w:color w:val="1E1E1E"/>
                <w:sz w:val="18"/>
              </w:rPr>
              <w:t>ЭПД, УПД, акты, счета и договоры — все документы в одном сервисе</w:t>
            </w:r>
          </w:p>
          <w:p>
            <w:pPr>
              <w:spacing w:after="60" w:before="40"/>
            </w:pPr>
            <w:r>
              <w:rPr>
                <w:rFonts w:ascii="Arial" w:hAnsi="Arial" w:eastAsia="Arial"/>
                <w:b/>
                <w:color w:val="E8B84A"/>
                <w:sz w:val="18"/>
              </w:rPr>
              <w:t xml:space="preserve">●  </w:t>
            </w:r>
            <w:r>
              <w:rPr>
                <w:rFonts w:ascii="Arial" w:hAnsi="Arial" w:eastAsia="Arial"/>
                <w:b w:val="0"/>
                <w:color w:val="1E1E1E"/>
                <w:sz w:val="18"/>
              </w:rPr>
              <w:t>Подходит без 1С, без ПК или при редко обновляемой 1С</w:t>
            </w:r>
          </w:p>
          <w:p>
            <w:pPr>
              <w:spacing w:after="60" w:before="40"/>
            </w:pPr>
            <w:r>
              <w:rPr>
                <w:rFonts w:ascii="Arial" w:hAnsi="Arial" w:eastAsia="Arial"/>
                <w:b/>
                <w:color w:val="E8B84A"/>
                <w:sz w:val="18"/>
              </w:rPr>
              <w:t xml:space="preserve">●  </w:t>
            </w:r>
            <w:r>
              <w:rPr>
                <w:rFonts w:ascii="Arial" w:hAnsi="Arial" w:eastAsia="Arial"/>
                <w:b w:val="0"/>
                <w:color w:val="1E1E1E"/>
                <w:sz w:val="18"/>
              </w:rPr>
              <w:t>Облачный архив: документы не потеряются при сбое базы</w:t>
            </w:r>
          </w:p>
          <w:p>
            <w:pPr>
              <w:spacing w:after="60" w:before="40"/>
            </w:pPr>
            <w:r>
              <w:rPr>
                <w:rFonts w:ascii="Arial" w:hAnsi="Arial" w:eastAsia="Arial"/>
                <w:b/>
                <w:color w:val="E8B84A"/>
                <w:sz w:val="18"/>
              </w:rPr>
              <w:t xml:space="preserve">●  </w:t>
            </w:r>
            <w:r>
              <w:rPr>
                <w:rFonts w:ascii="Arial" w:hAnsi="Arial" w:eastAsia="Arial"/>
                <w:b w:val="0"/>
                <w:color w:val="1E1E1E"/>
                <w:sz w:val="18"/>
              </w:rPr>
              <w:t>Разделение доступа по сотрудникам и подразделениям</w:t>
            </w:r>
          </w:p>
          <w:p>
            <w:pPr>
              <w:spacing w:after="60" w:before="40"/>
            </w:pPr>
            <w:r>
              <w:rPr>
                <w:rFonts w:ascii="Arial" w:hAnsi="Arial" w:eastAsia="Arial"/>
                <w:b/>
                <w:color w:val="E8B84A"/>
                <w:sz w:val="18"/>
              </w:rPr>
              <w:t xml:space="preserve">●  </w:t>
            </w:r>
            <w:r>
              <w:rPr>
                <w:rFonts w:ascii="Arial" w:hAnsi="Arial" w:eastAsia="Arial"/>
                <w:b w:val="0"/>
                <w:color w:val="1E1E1E"/>
                <w:sz w:val="18"/>
              </w:rPr>
              <w:t>Промотариф: 3 месяца безлимита для новых клиентов</w:t>
            </w:r>
          </w:p>
          <w:p>
            <w:pPr>
              <w:spacing w:after="60" w:before="40"/>
            </w:pPr>
            <w:r>
              <w:rPr>
                <w:rFonts w:ascii="Arial" w:hAnsi="Arial" w:eastAsia="Arial"/>
                <w:b/>
                <w:color w:val="E8B84A"/>
                <w:sz w:val="18"/>
              </w:rPr>
              <w:t xml:space="preserve">●  </w:t>
            </w:r>
            <w:r>
              <w:rPr>
                <w:rFonts w:ascii="Arial" w:hAnsi="Arial" w:eastAsia="Arial"/>
                <w:b w:val="0"/>
                <w:color w:val="1E1E1E"/>
                <w:sz w:val="18"/>
              </w:rPr>
              <w:t>Мобильное подписание водителем (ПЭП / УКЭП / Госключ)</w:t>
            </w:r>
          </w:p>
        </w:tc>
      </w:tr>
    </w:tbl>
    <w:p>
      <w:pPr>
        <w:spacing w:before="280" w:after="120"/>
        <w:pBdr>
          <w:bottom w:val="single" w:sz="18" w:space="4" w:color="E8B84A"/>
        </w:pBdr>
      </w:pPr>
      <w:r>
        <w:rPr>
          <w:rFonts w:ascii="Arial" w:hAnsi="Arial" w:eastAsia="Arial"/>
          <w:b/>
          <w:color w:val="1E1E1E"/>
          <w:sz w:val="28"/>
        </w:rPr>
        <w:t>Основные отличия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1E1E1E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Критерий</w:t>
            </w:r>
          </w:p>
        </w:tc>
        <w:tc>
          <w:tcPr>
            <w:tcW w:type="dxa" w:w="3439"/>
            <w:shd w:fill="1E1E1E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1С-ЭПД</w:t>
            </w:r>
          </w:p>
        </w:tc>
        <w:tc>
          <w:tcPr>
            <w:tcW w:type="dxa" w:w="3439"/>
            <w:shd w:fill="1E1E1E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Доки.Логистика</w:t>
            </w:r>
          </w:p>
        </w:tc>
      </w:tr>
      <w:tr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6"/>
              </w:rPr>
              <w:t>Где работает</w:t>
            </w:r>
          </w:p>
        </w:tc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Внутри типовой 1С (+ моб. приложение)</w:t>
            </w:r>
          </w:p>
        </w:tc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1С + веб + мобильное приложение</w:t>
            </w:r>
          </w:p>
        </w:tc>
      </w:tr>
      <w:tr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6"/>
              </w:rPr>
              <w:t>Кому подходит</w:t>
            </w:r>
          </w:p>
        </w:tc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Учёт в 1С, регулярные обновления, уже есть 1С-ЭДО</w:t>
            </w:r>
          </w:p>
        </w:tc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Нет 1С / нет ПК / логисты вне базы / редкие обновления</w:t>
            </w:r>
          </w:p>
        </w:tc>
      </w:tr>
      <w:tr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6"/>
              </w:rPr>
              <w:t>Установка</w:t>
            </w:r>
          </w:p>
        </w:tc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Типовой функционал, без расширений</w:t>
            </w:r>
          </w:p>
        </w:tc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Расширение в 1С (веб и мобильный — сразу)</w:t>
            </w:r>
          </w:p>
        </w:tc>
      </w:tr>
      <w:tr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6"/>
              </w:rPr>
              <w:t>Типы документов</w:t>
            </w:r>
          </w:p>
        </w:tc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Фокус на ЭПД (ЭТрН, ЭЗЗ, ЭПЛ и др.)</w:t>
            </w:r>
          </w:p>
        </w:tc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ЭПД + полный ЭДО с контрагентами</w:t>
            </w:r>
          </w:p>
        </w:tc>
      </w:tr>
      <w:tr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6"/>
              </w:rPr>
              <w:t>Хранение</w:t>
            </w:r>
          </w:p>
        </w:tc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В информационной базе 1С</w:t>
            </w:r>
          </w:p>
        </w:tc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Облачный архив + синхронизация</w:t>
            </w:r>
          </w:p>
        </w:tc>
      </w:tr>
      <w:tr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6"/>
              </w:rPr>
              <w:t>Старт для новичков</w:t>
            </w:r>
          </w:p>
        </w:tc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1С:Клиент ЭДО (бесплатно)</w:t>
            </w:r>
          </w:p>
        </w:tc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Промотариф 3 мес. безлимит*</w:t>
            </w:r>
          </w:p>
        </w:tc>
      </w:tr>
      <w:tr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6"/>
              </w:rPr>
              <w:t>Модель оплаты</w:t>
            </w:r>
          </w:p>
        </w:tc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Пакеты титулов / постоплата 7 ₽</w:t>
            </w:r>
          </w:p>
        </w:tc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Годовые пакеты исходящих документов</w:t>
            </w:r>
          </w:p>
        </w:tc>
      </w:tr>
    </w:tbl>
    <w:p>
      <w:pPr>
        <w:spacing w:before="80" w:after="80"/>
      </w:pPr>
      <w:r>
        <w:rPr>
          <w:rFonts w:ascii="Arial" w:hAnsi="Arial" w:eastAsia="Arial"/>
          <w:b w:val="0"/>
          <w:color w:val="555555"/>
          <w:sz w:val="16"/>
        </w:rPr>
        <w:t>* Промотариф Доки недоступен клиентам с учётной записью в сервисе Астрал.ЭДО. Ключевое отличие: 1С-ЭПД — типовое решение внутри 1С; Доки.Логистика работает независимо в 1С, вебе и мобильном приложении.</w:t>
      </w:r>
    </w:p>
    <w:p>
      <w:pPr>
        <w:spacing w:before="280" w:after="120"/>
        <w:pBdr>
          <w:bottom w:val="single" w:sz="18" w:space="4" w:color="E8B84A"/>
        </w:pBdr>
      </w:pPr>
      <w:r>
        <w:rPr>
          <w:rFonts w:ascii="Arial" w:hAnsi="Arial" w:eastAsia="Arial"/>
          <w:b/>
          <w:color w:val="1E1E1E"/>
          <w:sz w:val="28"/>
        </w:rPr>
        <w:t>Стоимость пакетов документов</w:t>
      </w:r>
    </w:p>
    <w:p>
      <w:pPr>
        <w:spacing w:before="40" w:after="80"/>
      </w:pPr>
      <w:r>
        <w:rPr>
          <w:rFonts w:ascii="Arial" w:hAnsi="Arial" w:eastAsia="Arial"/>
          <w:b/>
          <w:color w:val="1E1E1E"/>
          <w:sz w:val="22"/>
        </w:rPr>
        <w:t>1С-ЭПД — предоплатные пакеты титулов (12 месяцев)</w:t>
      </w:r>
    </w:p>
    <w:p>
      <w:pPr>
        <w:spacing w:after="80"/>
      </w:pPr>
      <w:r>
        <w:rPr>
          <w:rFonts w:ascii="Arial" w:hAnsi="Arial" w:eastAsia="Arial"/>
          <w:b w:val="0"/>
          <w:color w:val="555555"/>
          <w:sz w:val="16"/>
        </w:rPr>
        <w:t>Постоплатная модель: 7 ₽ за 1 титул. Титулы в ЭЗЗ бесплатны для ГО и перевозчика; в ЭТрН оплачиваются Т1 (ГО) и Т2 (перевозчик); в ЭПЛ — Т4. Актуально до 31.12.2026.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1E1E1E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Пакет</w:t>
            </w:r>
          </w:p>
        </w:tc>
        <w:tc>
          <w:tcPr>
            <w:tcW w:type="dxa" w:w="3439"/>
            <w:shd w:fill="1E1E1E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Цена за 1 документ, ₽</w:t>
            </w:r>
          </w:p>
        </w:tc>
        <w:tc>
          <w:tcPr>
            <w:tcW w:type="dxa" w:w="3439"/>
            <w:shd w:fill="1E1E1E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Стоимость пакета, ₽</w:t>
            </w:r>
          </w:p>
        </w:tc>
      </w:tr>
      <w:tr>
        <w:tc>
          <w:tcPr>
            <w:tcW w:type="dxa" w:w="3439"/>
            <w:shd w:fill="FFF8E7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«1С-ЭДО. ЭПД-600»</w:t>
            </w:r>
          </w:p>
        </w:tc>
        <w:tc>
          <w:tcPr>
            <w:tcW w:type="dxa" w:w="3439"/>
            <w:shd w:fill="FFF8E7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6,00</w:t>
            </w:r>
          </w:p>
        </w:tc>
        <w:tc>
          <w:tcPr>
            <w:tcW w:type="dxa" w:w="3439"/>
            <w:shd w:fill="FFF8E7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3 600</w:t>
            </w:r>
          </w:p>
        </w:tc>
      </w:tr>
      <w:tr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«1С-ЭДО. ЭПД-1000»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5,00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5 000</w:t>
            </w:r>
          </w:p>
        </w:tc>
      </w:tr>
      <w:tr>
        <w:tc>
          <w:tcPr>
            <w:tcW w:type="dxa" w:w="3439"/>
            <w:shd w:fill="FFF8E7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«1С-ЭДО. ЭПД-5000»</w:t>
            </w:r>
          </w:p>
        </w:tc>
        <w:tc>
          <w:tcPr>
            <w:tcW w:type="dxa" w:w="3439"/>
            <w:shd w:fill="FFF8E7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4,50</w:t>
            </w:r>
          </w:p>
        </w:tc>
        <w:tc>
          <w:tcPr>
            <w:tcW w:type="dxa" w:w="3439"/>
            <w:shd w:fill="FFF8E7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22 500</w:t>
            </w:r>
          </w:p>
        </w:tc>
      </w:tr>
      <w:tr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«1С-ЭДО. ЭПД-10000»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4,00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40 000</w:t>
            </w:r>
          </w:p>
        </w:tc>
      </w:tr>
      <w:tr>
        <w:tc>
          <w:tcPr>
            <w:tcW w:type="dxa" w:w="3439"/>
            <w:shd w:fill="FFF8E7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«1С-ЭДО. ЭПД-50000»</w:t>
            </w:r>
          </w:p>
        </w:tc>
        <w:tc>
          <w:tcPr>
            <w:tcW w:type="dxa" w:w="3439"/>
            <w:shd w:fill="FFF8E7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3,00</w:t>
            </w:r>
          </w:p>
        </w:tc>
        <w:tc>
          <w:tcPr>
            <w:tcW w:type="dxa" w:w="3439"/>
            <w:shd w:fill="FFF8E7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150 000</w:t>
            </w:r>
          </w:p>
        </w:tc>
      </w:tr>
      <w:tr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«1С-ЭДО. ЭПД-100000»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2,50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250 000</w:t>
            </w:r>
          </w:p>
        </w:tc>
      </w:tr>
    </w:tbl>
    <w:p>
      <w:pPr>
        <w:spacing w:before="120" w:after="160"/>
      </w:pPr>
      <w:r>
        <w:rPr>
          <w:rFonts w:ascii="Arial" w:hAnsi="Arial" w:eastAsia="Arial"/>
          <w:b/>
          <w:color w:val="1E1E1E"/>
          <w:sz w:val="18"/>
        </w:rPr>
        <w:t xml:space="preserve">Акция: </w:t>
      </w:r>
      <w:r>
        <w:rPr>
          <w:rFonts w:ascii="Arial" w:hAnsi="Arial" w:eastAsia="Arial"/>
          <w:b w:val="0"/>
          <w:color w:val="1E1E1E"/>
          <w:sz w:val="18"/>
        </w:rPr>
        <w:t>при покупке пакета от 1 000 титулов — бесплатная настройка 1 рабочего места для работы с ЭПД (активация сервиса, КриптоПро, УКЭП, МЧД, до 3 контрагентов). Лицензия СКЗИ и сертификаты 1С:Подпись оплачиваются отдельно.</w:t>
      </w:r>
    </w:p>
    <w:p>
      <w:pPr>
        <w:spacing w:before="80" w:after="80"/>
      </w:pPr>
      <w:r>
        <w:rPr>
          <w:rFonts w:ascii="Arial" w:hAnsi="Arial" w:eastAsia="Arial"/>
          <w:b/>
          <w:color w:val="1E1E1E"/>
          <w:sz w:val="22"/>
        </w:rPr>
        <w:t>Доки.Логистика — тарифы на исходящие документы (12 месяцев)</w:t>
      </w:r>
    </w:p>
    <w:p>
      <w:pPr>
        <w:spacing w:after="80"/>
      </w:pPr>
      <w:r>
        <w:rPr>
          <w:rFonts w:ascii="Arial" w:hAnsi="Arial" w:eastAsia="Arial"/>
          <w:b w:val="0"/>
          <w:color w:val="555555"/>
          <w:sz w:val="16"/>
        </w:rPr>
        <w:t>Входящие документы подписываются без тарифа. Чем больше пакет — тем ниже цена одного документа. Неизрасходованный остаток переносится при своевременном продлении. Для сравнения: стоимость бумажного документа ≈ 50 ₽.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1E1E1E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Кол-во документов / год</w:t>
            </w:r>
          </w:p>
        </w:tc>
        <w:tc>
          <w:tcPr>
            <w:tcW w:type="dxa" w:w="3439"/>
            <w:shd w:fill="1E1E1E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Стоимость 1 док-та, ₽</w:t>
            </w:r>
          </w:p>
        </w:tc>
        <w:tc>
          <w:tcPr>
            <w:tcW w:type="dxa" w:w="3439"/>
            <w:shd w:fill="1E1E1E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Стоимость тарифа, ₽ / год</w:t>
            </w:r>
          </w:p>
        </w:tc>
      </w:tr>
      <w:tr>
        <w:tc>
          <w:tcPr>
            <w:tcW w:type="dxa" w:w="3439"/>
            <w:shd w:fill="F0EEF8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200</w:t>
            </w:r>
          </w:p>
        </w:tc>
        <w:tc>
          <w:tcPr>
            <w:tcW w:type="dxa" w:w="3439"/>
            <w:shd w:fill="F0EEF8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9,00</w:t>
            </w:r>
          </w:p>
        </w:tc>
        <w:tc>
          <w:tcPr>
            <w:tcW w:type="dxa" w:w="3439"/>
            <w:shd w:fill="F0EEF8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1 800</w:t>
            </w:r>
          </w:p>
        </w:tc>
      </w:tr>
      <w:tr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500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8,40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4 200</w:t>
            </w:r>
          </w:p>
        </w:tc>
      </w:tr>
      <w:tr>
        <w:tc>
          <w:tcPr>
            <w:tcW w:type="dxa" w:w="3439"/>
            <w:shd w:fill="F0EEF8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1 200</w:t>
            </w:r>
          </w:p>
        </w:tc>
        <w:tc>
          <w:tcPr>
            <w:tcW w:type="dxa" w:w="3439"/>
            <w:shd w:fill="F0EEF8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7,67</w:t>
            </w:r>
          </w:p>
        </w:tc>
        <w:tc>
          <w:tcPr>
            <w:tcW w:type="dxa" w:w="3439"/>
            <w:shd w:fill="F0EEF8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9 200</w:t>
            </w:r>
          </w:p>
        </w:tc>
      </w:tr>
      <w:tr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1 500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7,60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11 400</w:t>
            </w:r>
          </w:p>
        </w:tc>
      </w:tr>
      <w:tr>
        <w:tc>
          <w:tcPr>
            <w:tcW w:type="dxa" w:w="3439"/>
            <w:shd w:fill="F0EEF8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3 000</w:t>
            </w:r>
          </w:p>
        </w:tc>
        <w:tc>
          <w:tcPr>
            <w:tcW w:type="dxa" w:w="3439"/>
            <w:shd w:fill="F0EEF8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5,70</w:t>
            </w:r>
          </w:p>
        </w:tc>
        <w:tc>
          <w:tcPr>
            <w:tcW w:type="dxa" w:w="3439"/>
            <w:shd w:fill="F0EEF8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17 100</w:t>
            </w:r>
          </w:p>
        </w:tc>
      </w:tr>
      <w:tr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5 000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4,90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24 500</w:t>
            </w:r>
          </w:p>
        </w:tc>
      </w:tr>
      <w:tr>
        <w:tc>
          <w:tcPr>
            <w:tcW w:type="dxa" w:w="3439"/>
            <w:shd w:fill="F0EEF8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10 000</w:t>
            </w:r>
          </w:p>
        </w:tc>
        <w:tc>
          <w:tcPr>
            <w:tcW w:type="dxa" w:w="3439"/>
            <w:shd w:fill="F0EEF8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3,90</w:t>
            </w:r>
          </w:p>
        </w:tc>
        <w:tc>
          <w:tcPr>
            <w:tcW w:type="dxa" w:w="3439"/>
            <w:shd w:fill="F0EEF8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39 000</w:t>
            </w:r>
          </w:p>
        </w:tc>
      </w:tr>
      <w:tr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20 000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3,65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73 000</w:t>
            </w:r>
          </w:p>
        </w:tc>
      </w:tr>
      <w:tr>
        <w:tc>
          <w:tcPr>
            <w:tcW w:type="dxa" w:w="3439"/>
            <w:shd w:fill="F0EEF8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30 000</w:t>
            </w:r>
          </w:p>
        </w:tc>
        <w:tc>
          <w:tcPr>
            <w:tcW w:type="dxa" w:w="3439"/>
            <w:shd w:fill="F0EEF8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3,50</w:t>
            </w:r>
          </w:p>
        </w:tc>
        <w:tc>
          <w:tcPr>
            <w:tcW w:type="dxa" w:w="3439"/>
            <w:shd w:fill="F0EEF8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105 000</w:t>
            </w:r>
          </w:p>
        </w:tc>
      </w:tr>
      <w:tr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50 000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3,40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170 000</w:t>
            </w:r>
          </w:p>
        </w:tc>
      </w:tr>
      <w:tr>
        <w:tc>
          <w:tcPr>
            <w:tcW w:type="dxa" w:w="3439"/>
            <w:shd w:fill="F0EEF8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100 000</w:t>
            </w:r>
          </w:p>
        </w:tc>
        <w:tc>
          <w:tcPr>
            <w:tcW w:type="dxa" w:w="3439"/>
            <w:shd w:fill="F0EEF8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3,20</w:t>
            </w:r>
          </w:p>
        </w:tc>
        <w:tc>
          <w:tcPr>
            <w:tcW w:type="dxa" w:w="3439"/>
            <w:shd w:fill="F0EEF8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E1E1E"/>
                <w:sz w:val="18"/>
              </w:rPr>
              <w:t>320 000</w:t>
            </w:r>
          </w:p>
        </w:tc>
      </w:tr>
    </w:tbl>
    <w:p>
      <w:pPr>
        <w:spacing w:before="120" w:after="120"/>
      </w:pPr>
      <w:r>
        <w:rPr>
          <w:rFonts w:ascii="Arial" w:hAnsi="Arial" w:eastAsia="Arial"/>
          <w:b/>
          <w:color w:val="1E1E1E"/>
          <w:sz w:val="18"/>
        </w:rPr>
        <w:t xml:space="preserve">Акция «15 месяцев по цене 12»: </w:t>
      </w:r>
      <w:r>
        <w:rPr>
          <w:rFonts w:ascii="Arial" w:hAnsi="Arial" w:eastAsia="Arial"/>
          <w:b w:val="0"/>
          <w:color w:val="1E1E1E"/>
          <w:sz w:val="18"/>
        </w:rPr>
        <w:t>при покупке любого пакета Доки + 1 часа линии консультаций (3 660 ₽) — дополнительно 3 месяца демо-доступа. Оплаченный пакет активируется после демо-периода.</w:t>
      </w:r>
    </w:p>
    <w:p>
      <w:pPr>
        <w:spacing w:before="280" w:after="120"/>
        <w:pBdr>
          <w:bottom w:val="single" w:sz="18" w:space="4" w:color="E8B84A"/>
        </w:pBdr>
      </w:pPr>
      <w:r>
        <w:rPr>
          <w:rFonts w:ascii="Arial" w:hAnsi="Arial" w:eastAsia="Arial"/>
          <w:b/>
          <w:color w:val="1E1E1E"/>
          <w:sz w:val="28"/>
        </w:rPr>
        <w:t>Что может понадобиться дополнительно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1E1E1E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Наименование</w:t>
            </w:r>
          </w:p>
        </w:tc>
        <w:tc>
          <w:tcPr>
            <w:tcW w:type="dxa" w:w="3439"/>
            <w:shd w:fill="1E1E1E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Цена</w:t>
            </w:r>
          </w:p>
        </w:tc>
        <w:tc>
          <w:tcPr>
            <w:tcW w:type="dxa" w:w="3439"/>
            <w:shd w:fill="1E1E1E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6"/>
              </w:rPr>
              <w:t>Линия консультаций 1С (1–3 ч)</w:t>
            </w:r>
          </w:p>
        </w:tc>
        <w:tc>
          <w:tcPr>
            <w:tcW w:type="dxa" w:w="3439"/>
            <w:shd w:fill="F5F5F5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3 660 ₽/час</w:t>
            </w:r>
          </w:p>
        </w:tc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Удалённая техподдержка и настройка</w:t>
            </w:r>
          </w:p>
        </w:tc>
      </w:tr>
      <w:tr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6"/>
              </w:rPr>
              <w:t>Подготовка 1 рабочего места 1С-ЭПД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7 320 ₽</w:t>
            </w:r>
          </w:p>
        </w:tc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Обучение + настройка / экспресс-анализ</w:t>
            </w:r>
          </w:p>
        </w:tc>
      </w:tr>
      <w:tr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6"/>
              </w:rPr>
              <w:t>Лицензия КриптоПро CSP (бессрочно)</w:t>
            </w:r>
          </w:p>
        </w:tc>
        <w:tc>
          <w:tcPr>
            <w:tcW w:type="dxa" w:w="3439"/>
            <w:shd w:fill="F5F5F5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3 700 ₽</w:t>
            </w:r>
          </w:p>
        </w:tc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СКЗИ для работы с ЭП</w:t>
            </w:r>
          </w:p>
        </w:tc>
      </w:tr>
      <w:tr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6"/>
              </w:rPr>
              <w:t>УКЭП (1С:Подпись)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1 050 ₽</w:t>
            </w:r>
          </w:p>
        </w:tc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На каждого подписанта</w:t>
            </w:r>
          </w:p>
        </w:tc>
      </w:tr>
      <w:tr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6"/>
              </w:rPr>
              <w:t>Рутокен 3.0 / NFC-токен</w:t>
            </w:r>
          </w:p>
        </w:tc>
        <w:tc>
          <w:tcPr>
            <w:tcW w:type="dxa" w:w="3439"/>
            <w:shd w:fill="F5F5F5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от 2 700 ₽</w:t>
            </w:r>
          </w:p>
        </w:tc>
        <w:tc>
          <w:tcPr>
            <w:tcW w:type="dxa" w:w="3439"/>
            <w:shd w:fill="F5F5F5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Носитель для мобильного подписания</w:t>
            </w:r>
          </w:p>
        </w:tc>
      </w:tr>
      <w:tr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1E1E1E"/>
                <w:sz w:val="16"/>
              </w:rPr>
              <w:t>Договор 1С:ИТС</w:t>
            </w:r>
          </w:p>
        </w:tc>
        <w:tc>
          <w:tcPr>
            <w:tcW w:type="dxa" w:w="3439"/>
            <w:shd w:fill="FFFFFF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от 3 273 ₽/мес.</w:t>
            </w:r>
          </w:p>
        </w:tc>
        <w:tc>
          <w:tcPr>
            <w:tcW w:type="dxa" w:w="3439"/>
            <w:shd w:fill="FFFFFF" w:val="clea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E1E1E"/>
                <w:sz w:val="16"/>
              </w:rPr>
              <w:t>Сопровождение и обновления 1С</w:t>
            </w:r>
          </w:p>
        </w:tc>
      </w:tr>
    </w:tbl>
    <w:p>
      <w:pPr>
        <w:spacing w:before="200" w:after="0"/>
        <w:pBdr>
          <w:bottom w:val="single" w:sz="24" w:space="1" w:color="E8B84A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E8B84A"/>
          <w:left w:val="single" w:sz="12" w:space="0" w:color="E8B84A"/>
          <w:bottom w:val="single" w:sz="12" w:space="0" w:color="E8B84A"/>
          <w:right w:val="single" w:sz="12" w:space="0" w:color="E8B84A"/>
          <w:insideH w:val="single" w:sz="12" w:space="0" w:color="E8B84A"/>
          <w:insideV w:val="single" w:sz="12" w:space="0" w:color="E8B84A"/>
        </w:tblBorders>
      </w:tblPr>
      <w:tblGrid>
        <w:gridCol w:w="5159"/>
        <w:gridCol w:w="5159"/>
      </w:tblGrid>
      <w:tr>
        <w:tc>
          <w:tcPr>
            <w:tcW w:type="dxa" w:w="5159"/>
            <w:shd w:fill="FFF8E7" w:val="clear"/>
          </w:tcPr>
          <w:p>
            <w:r>
              <w:rPr>
                <w:rFonts w:ascii="Arial" w:hAnsi="Arial" w:eastAsia="Arial"/>
                <w:b w:val="0"/>
                <w:color w:val="555555"/>
                <w:sz w:val="18"/>
              </w:rPr>
              <w:t>Ваш менеджер</w:t>
            </w:r>
          </w:p>
          <w:p>
            <w:pPr>
              <w:spacing w:before="40" w:after="40"/>
            </w:pPr>
            <w:r>
              <w:rPr>
                <w:rFonts w:ascii="Arial" w:hAnsi="Arial" w:eastAsia="Arial"/>
                <w:b/>
                <w:color w:val="1E1E1E"/>
                <w:sz w:val="26"/>
              </w:rPr>
              <w:t>Оглоблина Софья</w:t>
            </w:r>
          </w:p>
          <w:p>
            <w:pPr>
              <w:spacing w:before="0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Менеджер по продаже 1С-ЭПД</w:t>
            </w:r>
          </w:p>
          <w:p>
            <w:pPr>
              <w:spacing w:before="20" w:after="0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E-mail: sogloblina@forus.ru</w:t>
            </w:r>
          </w:p>
          <w:p>
            <w:pPr>
              <w:spacing w:before="20" w:after="0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Тел.: +7 (3952) 78-00-00, доб. 1861</w:t>
            </w:r>
          </w:p>
          <w:p>
            <w:pPr>
              <w:spacing w:before="20" w:after="0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Москва +5 часов</w:t>
            </w:r>
          </w:p>
        </w:tc>
        <w:tc>
          <w:tcPr>
            <w:tcW w:type="dxa" w:w="5159"/>
            <w:shd w:fill="FFF8E7" w:val="clear"/>
          </w:tcPr>
          <w:p>
            <w:r>
              <w:rPr>
                <w:rFonts w:ascii="Arial" w:hAnsi="Arial" w:eastAsia="Arial"/>
                <w:b w:val="0"/>
                <w:color w:val="555555"/>
                <w:sz w:val="18"/>
              </w:rPr>
              <w:t>Контакты ГК «Форус»</w:t>
            </w:r>
          </w:p>
          <w:p>
            <w:pPr>
              <w:spacing w:before="40"/>
            </w:pPr>
            <w:r>
              <w:rPr>
                <w:rFonts w:ascii="Arial" w:hAnsi="Arial" w:eastAsia="Arial"/>
                <w:b/>
                <w:color w:val="1E1E1E"/>
                <w:sz w:val="24"/>
              </w:rPr>
              <w:t>ООО НПФ «Форус»</w:t>
            </w:r>
          </w:p>
          <w:p>
            <w:pPr>
              <w:spacing w:before="20" w:after="0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664047, г. Иркутск, ул. Ямская, 1/1, офис 1</w:t>
            </w:r>
          </w:p>
          <w:p>
            <w:pPr>
              <w:spacing w:before="20" w:after="0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Тел.: +7 (3952) 78-00-00, 72-87-02</w:t>
            </w:r>
          </w:p>
          <w:p>
            <w:pPr>
              <w:spacing w:before="20" w:after="0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E-mail: info@forus.ru</w:t>
            </w:r>
          </w:p>
          <w:p>
            <w:pPr>
              <w:spacing w:before="20" w:after="0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Сайт: www.forus.ru</w:t>
            </w:r>
          </w:p>
          <w:p>
            <w:pPr>
              <w:spacing w:before="20" w:after="0"/>
            </w:pPr>
            <w:r>
              <w:rPr>
                <w:rFonts w:ascii="Arial" w:hAnsi="Arial" w:eastAsia="Arial"/>
                <w:b w:val="0"/>
                <w:color w:val="1E1E1E"/>
                <w:sz w:val="18"/>
              </w:rPr>
              <w:t>ИНН 3812023430  ·  ОГРН 1023801752633</w:t>
            </w:r>
          </w:p>
        </w:tc>
      </w:tr>
    </w:tbl>
    <w:p>
      <w:pPr>
        <w:spacing w:before="240"/>
        <w:jc w:val="center"/>
      </w:pPr>
      <w:r>
        <w:rPr>
          <w:rFonts w:ascii="Arial" w:hAnsi="Arial" w:eastAsia="Arial"/>
          <w:b w:val="0"/>
          <w:color w:val="555555"/>
          <w:sz w:val="18"/>
        </w:rPr>
        <w:t>Готовы подобрать оптимальный пакет и провести демонстрацию сервиса.</w:t>
        <w:br/>
        <w:t>Ожидаем обратную связь и надеемся на плодотворное сотрудничество!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