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c>
          <w:tcPr>
            <w:tcW w:type="dxa" w:w="3118"/>
            <w:shd w:val="clear" w:color="auto" w:fill="FCCD68"/>
            <w:vAlign w:val="center"/>
            <w:tcBorders>
              <w:top w:val="single" w:sz="4" w:space="0" w:color="E8B43A"/>
              <w:left w:val="single" w:sz="4" w:space="0" w:color="E8B43A"/>
              <w:bottom w:val="single" w:sz="4" w:space="0" w:color="E8B43A"/>
              <w:right w:val="single" w:sz="4" w:space="0" w:color="E8B43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32"/>
              </w:rPr>
              <w:t>ФОРУС</w:t>
            </w:r>
          </w:p>
        </w:tc>
        <w:tc>
          <w:tcPr>
            <w:tcW w:type="dxa" w:w="7087"/>
            <w:shd w:val="clear" w:color="auto" w:fill="FCCD68"/>
            <w:vAlign w:val="center"/>
            <w:tcBorders>
              <w:top w:val="single" w:sz="4" w:space="0" w:color="E8B43A"/>
              <w:left w:val="single" w:sz="4" w:space="0" w:color="E8B43A"/>
              <w:bottom w:val="single" w:sz="4" w:space="0" w:color="E8B43A"/>
              <w:right w:val="single" w:sz="4" w:space="0" w:color="E8B43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 w:line="276" w:lineRule="auto"/>
              <w:jc w:val="righ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Группа компаний  ·  Отдел продуктового запуска</w:t>
            </w:r>
          </w:p>
        </w:tc>
      </w:tr>
    </w:tbl>
    <w:p>
      <w:pPr>
        <w:spacing w:before="280" w:after="80" w:line="276" w:lineRule="auto"/>
        <w:pBdr>
          <w:bottom w:val="single" w:sz="28" w:space="1" w:color="FCCD68"/>
        </w:pBdr>
      </w:pPr>
      <w:r>
        <w:rPr>
          <w:rFonts w:ascii="Verdana" w:hAnsi="Verdana" w:cs="Verdana" w:eastAsia="Verdana"/>
          <w:b/>
          <w:color w:val="1A1A1A"/>
          <w:sz w:val="28"/>
        </w:rPr>
        <w:t>Карта компетенций и ожиданий сотрудника</w:t>
      </w:r>
    </w:p>
    <w:p>
      <w:pPr>
        <w:spacing w:before="120" w:after="200" w:line="276" w:lineRule="auto"/>
      </w:pPr>
      <w:r>
        <w:rPr>
          <w:rFonts w:ascii="Verdana" w:hAnsi="Verdana" w:cs="Verdana" w:eastAsia="Verdana"/>
          <w:b w:val="0"/>
          <w:color w:val="767677"/>
          <w:sz w:val="20"/>
        </w:rPr>
        <w:t>Менеджер по продажам  ·  Отдел продуктового запуска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2551"/>
        <w:gridCol w:w="2551"/>
        <w:gridCol w:w="2551"/>
        <w:gridCol w:w="2551"/>
      </w:tblGrid>
      <w:tr>
        <w:tc>
          <w:tcPr>
            <w:tcW w:type="dxa" w:w="181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Сотрудник</w:t>
            </w:r>
          </w:p>
        </w:tc>
        <w:tc>
          <w:tcPr>
            <w:tcW w:type="dxa" w:w="357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  <w:tc>
          <w:tcPr>
            <w:tcW w:type="dxa" w:w="181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Дата оценки</w:t>
            </w:r>
          </w:p>
        </w:tc>
        <w:tc>
          <w:tcPr>
            <w:tcW w:type="dxa" w:w="3005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</w:tr>
      <w:tr>
        <w:tc>
          <w:tcPr>
            <w:tcW w:type="dxa" w:w="181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Должность</w:t>
            </w:r>
          </w:p>
        </w:tc>
        <w:tc>
          <w:tcPr>
            <w:tcW w:type="dxa" w:w="357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Менеджер по продажам</w:t>
            </w:r>
          </w:p>
        </w:tc>
        <w:tc>
          <w:tcPr>
            <w:tcW w:type="dxa" w:w="181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Оценщик</w:t>
            </w:r>
          </w:p>
        </w:tc>
        <w:tc>
          <w:tcPr>
            <w:tcW w:type="dxa" w:w="3005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</w:tr>
      <w:tr>
        <w:tc>
          <w:tcPr>
            <w:tcW w:type="dxa" w:w="181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Отдел</w:t>
            </w:r>
          </w:p>
        </w:tc>
        <w:tc>
          <w:tcPr>
            <w:tcW w:type="dxa" w:w="357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Продуктовый запуск</w:t>
            </w:r>
          </w:p>
        </w:tc>
        <w:tc>
          <w:tcPr>
            <w:tcW w:type="dxa" w:w="181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Период</w:t>
            </w:r>
          </w:p>
        </w:tc>
        <w:tc>
          <w:tcPr>
            <w:tcW w:type="dxa" w:w="3005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</w:tr>
    </w:tbl>
    <w:p>
      <w:pPr>
        <w:spacing w:before="160" w:after="200" w:line="276" w:lineRule="auto"/>
      </w:pPr>
      <w:r>
        <w:rPr>
          <w:rFonts w:ascii="Verdana" w:hAnsi="Verdana" w:cs="Verdana" w:eastAsia="Verdana"/>
          <w:b w:val="0"/>
          <w:color w:val="767677"/>
          <w:sz w:val="16"/>
        </w:rPr>
        <w:t>Инструкция: в столбце «Как у сотрудника в реальности» / «Реальность» кратко опишите фактический уровень (наблюдения, примеры, оценка). Можно использовать шкалу: 1 — не соответствует, 2 — частично, 3 — соответствует, 4 — превосходит.</w:t>
      </w:r>
    </w:p>
    <w:p>
      <w:pPr>
        <w:spacing w:before="80" w:after="120" w:line="276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1. Компетенции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c>
          <w:tcPr>
            <w:tcW w:type="dxa" w:w="5386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Компетенция менеджера по продажам</w:t>
              <w:br/>
              <w:t>(отдел продуктового запуска)</w:t>
            </w:r>
          </w:p>
        </w:tc>
        <w:tc>
          <w:tcPr>
            <w:tcW w:type="dxa" w:w="481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Как у сотрудника в реальности</w:t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1. Чёткое соблюдение скрипта в холодной базе (структура звонка, ключевые вопросы, фиксация результата)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2. Чёткое соблюдение скрипта в тёплой базе (развитие интереса, квалификация, следующий шаг)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3. Чёткое соблюдение скрипта в горячей базе (закрытие сделки, работа с решением, дожим договорённостей)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4. Быстрое изучение нового продукта: ценность, отличия, ограничения, типовые сценарии применения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5. Знание особенностей продукта и умение объяснить их простым языком под задачу клиента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6. Проработка гипотез при выводе продукта на рынок (тестирование оффера, сбор обратной связи)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7. Выявление потребностей клиента и перевод их в продуктовую ценность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8. Презентация продукта: структура, аргументы, акцент на выгоде, а не на функциях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9. Отработка возражений по скрипту и с опорой на продуктовую экспертизу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10. Квалификация лида: понимание готовности, роли ЛПР, сроков и бюджета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11. Работа с CRM: корректная и своевременная фиксация статусов, комментариев и следующих шагов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12. Обратная связь продуктовой команде по рынку, возражениям и гипотезам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13. Адаптивность при смене продукта, оффера или скрипта без потери качества звонка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65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14. Управление воронкой: приоритезация базы, доведение контактов до результата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</w:tbl>
    <w:p>
      <w:pPr>
        <w:spacing w:before="280" w:after="120" w:line="276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2. Ожидания по работе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c>
          <w:tcPr>
            <w:tcW w:type="dxa" w:w="5386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Ожидание по работе</w:t>
            </w:r>
          </w:p>
        </w:tc>
        <w:tc>
          <w:tcPr>
            <w:tcW w:type="dxa" w:w="481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Реальность</w:t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1. Самостоятельность в отработке возражений без эскалации типовых ситуаций руководителю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2. Дисциплина по скрипту: без самовольных отступлений, искажения смысла и «своей версии»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3. Выход на уверенную работу с новым продуктом в согласованные сроки после обучения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4. Выполнение норм активности (звонки / касания) при сохранении качества диалога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5. Качественное ведение CRM: полнота, достоверность, понятные следующие действия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6. Инициативность: предложения по улучшению скрипта, оффера и гипотез на основе практики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7. Стабильная конверсия по этапам воронки в рамках целевых показателей отдела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8. Устойчивость в работе с холодной базой: сохранение энергии, тона и стандартов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9. Своевременная эскалация нетиповых кейсов и рисков по сделке / продукту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10. Командное взаимодействие: обмен лучшими практиками и поддержка коллег при запуске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11. Клиентоориентированность: уважительный тон, честность по возможностям продукта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09" w:hRule="atLeast"/>
        </w:trPr>
        <w:tc>
          <w:tcPr>
            <w:tcW w:type="dxa" w:w="5386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12. Ответственность за результат: доведение договорённостей до конкретного следующего шага</w:t>
            </w:r>
          </w:p>
        </w:tc>
        <w:tc>
          <w:tcPr>
            <w:tcW w:type="dxa" w:w="481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</w:tbl>
    <w:p>
      <w:pPr>
        <w:spacing w:before="280" w:after="120" w:line="276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3. Итог и договорённости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rPr>
          <w:trHeight w:val="907" w:hRule="atLeast"/>
        </w:trPr>
        <w:tc>
          <w:tcPr>
            <w:tcW w:type="dxa" w:w="3402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Сильные стороны</w:t>
            </w:r>
          </w:p>
        </w:tc>
        <w:tc>
          <w:tcPr>
            <w:tcW w:type="dxa" w:w="6803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907" w:hRule="atLeast"/>
        </w:trPr>
        <w:tc>
          <w:tcPr>
            <w:tcW w:type="dxa" w:w="3402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Зоны роста (приоритет на ближайший период)</w:t>
            </w:r>
          </w:p>
        </w:tc>
        <w:tc>
          <w:tcPr>
            <w:tcW w:type="dxa" w:w="6803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907" w:hRule="atLeast"/>
        </w:trPr>
        <w:tc>
          <w:tcPr>
            <w:tcW w:type="dxa" w:w="3402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Конкретные договорённости / план развития</w:t>
            </w:r>
          </w:p>
        </w:tc>
        <w:tc>
          <w:tcPr>
            <w:tcW w:type="dxa" w:w="6803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907" w:hRule="atLeast"/>
        </w:trPr>
        <w:tc>
          <w:tcPr>
            <w:tcW w:type="dxa" w:w="3402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Общая оценка соответствия роли</w:t>
            </w:r>
          </w:p>
        </w:tc>
        <w:tc>
          <w:tcPr>
            <w:tcW w:type="dxa" w:w="6803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☐ не соответствует   ☐ частично   ☐ соответствует   ☐ превосходит</w:t>
            </w:r>
          </w:p>
        </w:tc>
      </w:tr>
    </w:tbl>
    <w:p>
      <w:pPr>
        <w:spacing w:before="320" w:after="160" w:line="276" w:lineRule="auto"/>
      </w:pPr>
      <w:r>
        <w:rPr>
          <w:rFonts w:ascii="Verdana" w:hAnsi="Verdana" w:cs="Verdana" w:eastAsia="Verdana"/>
          <w:b/>
          <w:color w:val="1A1A1A"/>
          <w:sz w:val="22"/>
        </w:rPr>
        <w:t>Подписи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rPr>
          <w:trHeight w:val="1020" w:hRule="atLeast"/>
        </w:trPr>
        <w:tc>
          <w:tcPr>
            <w:tcW w:type="dxa" w:w="510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Оценщик / руководитель:</w:t>
              <w:br/>
              <w:br/>
              <w:t>________________ / ________________</w:t>
            </w:r>
          </w:p>
        </w:tc>
        <w:tc>
          <w:tcPr>
            <w:tcW w:type="dxa" w:w="510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Сотрудник:</w:t>
              <w:br/>
              <w:br/>
              <w:t>________________ / ________________</w:t>
            </w:r>
          </w:p>
        </w:tc>
      </w:tr>
      <w:tr>
        <w:trPr>
          <w:trHeight w:val="1020" w:hRule="atLeast"/>
        </w:trPr>
        <w:tc>
          <w:tcPr>
            <w:tcW w:type="dxa" w:w="510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Дата: «____» ______________ 20____ г.</w:t>
            </w:r>
          </w:p>
        </w:tc>
        <w:tc>
          <w:tcPr>
            <w:tcW w:type="dxa" w:w="510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Дата: «____» ______________ 20____ г.</w:t>
            </w:r>
          </w:p>
        </w:tc>
      </w:tr>
    </w:tbl>
    <w:p>
      <w:pPr>
        <w:spacing w:before="240" w:after="0" w:line="276" w:lineRule="auto"/>
        <w:jc w:val="center"/>
      </w:pPr>
      <w:r>
        <w:rPr>
          <w:rFonts w:ascii="Verdana" w:hAnsi="Verdana" w:cs="Verdana" w:eastAsia="Verdana"/>
          <w:b w:val="0"/>
          <w:color w:val="767677"/>
          <w:sz w:val="14"/>
        </w:rPr>
        <w:t>© ГК Форус  ·  Внутренний документ отдела продуктового запуска  ·  Шаблон для индивидуального анализа сотрудника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 w:eastAsia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