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16000" cy="5396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rus_logo_docx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539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/>
                <w:color w:val="5C5C5C"/>
                <w:sz w:val="18"/>
              </w:rPr>
              <w:t>Группа компаний «Форус»</w:t>
            </w:r>
          </w:p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Центр компетенции по кадровому электронному документообороту</w:t>
            </w:r>
          </w:p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+7 (3952) 78-00-00  ·  www.forus.ru</w:t>
            </w:r>
          </w:p>
        </w:tc>
      </w:tr>
    </w:tbl>
    <w:p>
      <w:pPr>
        <w:spacing w:before="40" w:after="80"/>
        <w:pBdr>
          <w:bottom w:val="single" w:sz="28" w:space="1" w:color="F0C14A"/>
        </w:pBdr>
      </w:pPr>
    </w:p>
    <w:p>
      <w:pPr>
        <w:spacing w:after="20" w:before="0"/>
        <w:jc w:val="center"/>
      </w:pPr>
      <w:r>
        <w:rPr>
          <w:rFonts w:ascii="Arial" w:hAnsi="Arial" w:eastAsia="Arial"/>
          <w:b/>
          <w:color w:val="2B2B2B"/>
          <w:sz w:val="28"/>
        </w:rPr>
        <w:t>1С:Кабинет сотрудника — 750 личных кабинетов</w:t>
      </w:r>
    </w:p>
    <w:p>
      <w:pPr>
        <w:spacing w:after="80" w:before="0"/>
        <w:jc w:val="center"/>
      </w:pPr>
      <w:r>
        <w:rPr>
          <w:rFonts w:ascii="Arial" w:hAnsi="Arial" w:eastAsia="Arial"/>
          <w:b w:val="0"/>
          <w:color w:val="5C5C5C"/>
          <w:sz w:val="18"/>
        </w:rPr>
        <w:t>Персональное предложение · кадровый электронный документооборот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F0C14A"/>
          <w:left w:val="single" w:sz="12" w:space="0" w:color="F0C14A"/>
          <w:bottom w:val="single" w:sz="12" w:space="0" w:color="F0C14A"/>
          <w:right w:val="single" w:sz="12" w:space="0" w:color="F0C14A"/>
          <w:insideH w:val="single" w:sz="12" w:space="0" w:color="F0C14A"/>
          <w:insideV w:val="single" w:sz="12" w:space="0" w:color="F0C14A"/>
        </w:tblBorders>
      </w:tblPr>
      <w:tblGrid>
        <w:gridCol w:w="10318"/>
      </w:tblGrid>
      <w:tr>
        <w:tc>
          <w:tcPr>
            <w:tcW w:type="dxa" w:w="10318"/>
            <w:shd w:fill="FFF6D8" w:val="clea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20"/>
              </w:rPr>
              <w:t>Почему это предложение выгодно именно сейчас</w:t>
            </w:r>
          </w:p>
          <w:p>
            <w:pPr>
              <w:spacing w:after="20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• Экономия до 70% времени кадровой службы и до 75% затрат на бумагу, печать и курьеров</w:t>
            </w:r>
          </w:p>
          <w:p>
            <w:pPr>
              <w:spacing w:after="20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• Акция «Больше, чем кешбэк»: 5 часов линии консультаций в подарок (выгода 18 300 ₽)</w:t>
            </w:r>
          </w:p>
          <w:p>
            <w:pPr>
              <w:spacing w:after="20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• Работа внутри привычной 1С — без отдельной HR-платформы и двойного ввода данных</w:t>
            </w:r>
          </w:p>
        </w:tc>
      </w:tr>
    </w:tbl>
    <w:p>
      <w:pPr>
        <w:spacing w:after="60"/>
      </w:pPr>
    </w:p>
    <w:p>
      <w:pPr>
        <w:spacing w:after="40" w:before="60"/>
        <w:pBdr>
          <w:bottom w:val="single" w:sz="22" w:space="2" w:color="F0C14A"/>
        </w:pBdr>
      </w:pPr>
      <w:r>
        <w:rPr>
          <w:rFonts w:ascii="Arial" w:hAnsi="Arial" w:eastAsia="Arial"/>
          <w:b/>
          <w:color w:val="2B2B2B"/>
          <w:sz w:val="22"/>
        </w:rPr>
        <w:t>Что умеет 1С:Кабинет сотрудника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F0C14A"/>
          <w:left w:val="single" w:sz="8" w:space="0" w:color="F0C14A"/>
          <w:bottom w:val="single" w:sz="8" w:space="0" w:color="F0C14A"/>
          <w:right w:val="single" w:sz="8" w:space="0" w:color="F0C14A"/>
          <w:insideH w:val="single" w:sz="8" w:space="0" w:color="F0C14A"/>
          <w:insideV w:val="single" w:sz="8" w:space="0" w:color="F0C14A"/>
        </w:tblBorders>
      </w:tblPr>
      <w:tblGrid>
        <w:gridCol w:w="5159"/>
        <w:gridCol w:w="5159"/>
      </w:tblGrid>
      <w:tr>
        <w:tc>
          <w:tcPr>
            <w:tcW w:type="dxa" w:w="5159"/>
            <w:shd w:fill="FFFBEA" w:val="clear"/>
            <w:tcMar>
              <w:top w:w="28" w:type="dxa"/>
              <w:left w:w="40" w:type="dxa"/>
              <w:bottom w:w="28" w:type="dxa"/>
              <w:right w:w="4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18"/>
              </w:rPr>
              <w:t>Ознакомление с документами в один клик</w:t>
            </w:r>
          </w:p>
          <w:p>
            <w:pPr>
              <w:spacing w:after="0" w:before="20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Отправьте документ одной кнопкой — сотрудник ознакомится и подтвердит получение. Без печати и сбора подписей.</w:t>
            </w:r>
          </w:p>
        </w:tc>
        <w:tc>
          <w:tcPr>
            <w:tcW w:type="dxa" w:w="5159"/>
            <w:shd w:fill="FFFBEA" w:val="clear"/>
            <w:tcMar>
              <w:top w:w="28" w:type="dxa"/>
              <w:left w:w="40" w:type="dxa"/>
              <w:bottom w:w="28" w:type="dxa"/>
              <w:right w:w="4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18"/>
              </w:rPr>
              <w:t>Удалённый приём на работу</w:t>
            </w:r>
          </w:p>
          <w:p>
            <w:pPr>
              <w:spacing w:after="0" w:before="20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Трудовой договор, заявление и ознакомление с правилами — без визита в офис.</w:t>
            </w:r>
          </w:p>
        </w:tc>
      </w:tr>
      <w:tr>
        <w:tc>
          <w:tcPr>
            <w:tcW w:type="dxa" w:w="5159"/>
            <w:shd w:fill="FFFBEA" w:val="clear"/>
            <w:tcMar>
              <w:top w:w="28" w:type="dxa"/>
              <w:left w:w="40" w:type="dxa"/>
              <w:bottom w:w="28" w:type="dxa"/>
              <w:right w:w="4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18"/>
              </w:rPr>
              <w:t>Ответы на вопросы по отпуску</w:t>
            </w:r>
          </w:p>
          <w:p>
            <w:pPr>
              <w:spacing w:after="0" w:before="20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Сотрудник сам смотрит остаток отпуска и подаёт заявление онлайн — меньше повторяющихся вопросов кадрам.</w:t>
            </w:r>
          </w:p>
        </w:tc>
        <w:tc>
          <w:tcPr>
            <w:tcW w:type="dxa" w:w="5159"/>
            <w:shd w:fill="FFFBEA" w:val="clear"/>
            <w:tcMar>
              <w:top w:w="28" w:type="dxa"/>
              <w:left w:w="40" w:type="dxa"/>
              <w:bottom w:w="28" w:type="dxa"/>
              <w:right w:w="4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18"/>
              </w:rPr>
              <w:t>Согласование без походов по кабинетам</w:t>
            </w:r>
          </w:p>
          <w:p>
            <w:pPr>
              <w:spacing w:after="0" w:before="20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Отпуск, командировка, отгул — руководитель согласовывает с телефона, данные сразу в 1С.</w:t>
            </w:r>
          </w:p>
        </w:tc>
      </w:tr>
      <w:tr>
        <w:tc>
          <w:tcPr>
            <w:tcW w:type="dxa" w:w="5159"/>
            <w:shd w:fill="FFFBEA" w:val="clear"/>
            <w:tcMar>
              <w:top w:w="28" w:type="dxa"/>
              <w:left w:w="40" w:type="dxa"/>
              <w:bottom w:w="28" w:type="dxa"/>
              <w:right w:w="4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18"/>
              </w:rPr>
              <w:t>Общение без сторонних мессенджеров</w:t>
            </w:r>
          </w:p>
          <w:p>
            <w:pPr>
              <w:spacing w:after="0" w:before="20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Рабочие вопросы и документы — внутри системы, с учётом требований закона о персональных данных.</w:t>
            </w:r>
          </w:p>
        </w:tc>
        <w:tc>
          <w:tcPr>
            <w:tcW w:type="dxa" w:w="5159"/>
            <w:shd w:fill="FFFBEA" w:val="clear"/>
            <w:tcMar>
              <w:top w:w="28" w:type="dxa"/>
              <w:left w:w="40" w:type="dxa"/>
              <w:bottom w:w="28" w:type="dxa"/>
              <w:right w:w="4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18"/>
              </w:rPr>
              <w:t>Простое внедрение для ИТ</w:t>
            </w:r>
          </w:p>
          <w:p>
            <w:pPr>
              <w:spacing w:after="0" w:before="20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Сервис уже внутри 1С — без отдельной платформы и долгой интеграции.</w:t>
            </w:r>
          </w:p>
        </w:tc>
      </w:tr>
    </w:tbl>
    <w:p>
      <w:pPr>
        <w:spacing w:after="40" w:before="80"/>
        <w:pBdr>
          <w:bottom w:val="single" w:sz="22" w:space="2" w:color="F0C14A"/>
        </w:pBdr>
      </w:pPr>
      <w:r>
        <w:rPr>
          <w:rFonts w:ascii="Arial" w:hAnsi="Arial" w:eastAsia="Arial"/>
          <w:b/>
          <w:color w:val="2B2B2B"/>
          <w:sz w:val="22"/>
        </w:rPr>
        <w:t>Ваш пакет: 750 личных кабинетов</w:t>
      </w:r>
    </w:p>
    <w:p>
      <w:pPr>
        <w:spacing w:after="60" w:before="0"/>
      </w:pPr>
      <w:r>
        <w:rPr>
          <w:rFonts w:ascii="Arial" w:hAnsi="Arial" w:eastAsia="Arial"/>
          <w:b w:val="0"/>
          <w:color w:val="5C5C5C"/>
          <w:sz w:val="16"/>
        </w:rPr>
        <w:t>Состав лицензий: 500 + 200 + 50 · ≈ 25 ₽ в месяц за сотрудника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space="0" w:color="F0C14A"/>
          <w:left w:val="single" w:sz="10" w:space="0" w:color="F0C14A"/>
          <w:bottom w:val="single" w:sz="10" w:space="0" w:color="F0C14A"/>
          <w:right w:val="single" w:sz="10" w:space="0" w:color="F0C14A"/>
          <w:insideH w:val="single" w:sz="10" w:space="0" w:color="F0C14A"/>
          <w:insideV w:val="single" w:sz="10" w:space="0" w:color="F0C14A"/>
        </w:tblBorders>
      </w:tblPr>
      <w:tblGrid>
        <w:gridCol w:w="3439"/>
        <w:gridCol w:w="3439"/>
        <w:gridCol w:w="3439"/>
      </w:tblGrid>
      <w:tr>
        <w:trPr>
          <w:cantSplit/>
        </w:trPr>
        <w:tc>
          <w:tcPr>
            <w:tcW w:type="dxa" w:w="3439"/>
            <w:shd w:fill="F0C14A" w:val="clear"/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16"/>
              </w:rPr>
              <w:t>Позиция</w:t>
            </w:r>
          </w:p>
        </w:tc>
        <w:tc>
          <w:tcPr>
            <w:tcW w:type="dxa" w:w="3439"/>
            <w:shd w:fill="F0C14A" w:val="clear"/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16"/>
              </w:rPr>
              <w:t>Состав / пояснение</w:t>
            </w:r>
          </w:p>
        </w:tc>
        <w:tc>
          <w:tcPr>
            <w:tcW w:type="dxa" w:w="3439"/>
            <w:shd w:fill="F0C14A" w:val="clear"/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16"/>
              </w:rPr>
              <w:t>Сумма, ₽</w:t>
            </w:r>
          </w:p>
        </w:tc>
      </w:tr>
      <w:tr>
        <w:trPr>
          <w:cantSplit/>
        </w:trPr>
        <w:tc>
          <w:tcPr>
            <w:tcW w:type="dxa" w:w="3439"/>
            <w:shd w:fill="FFFBEA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r>
              <w:rPr>
                <w:rFonts w:ascii="Arial" w:hAnsi="Arial" w:eastAsia="Arial"/>
                <w:b w:val="0"/>
                <w:color w:val="2B2B2B"/>
                <w:sz w:val="16"/>
              </w:rPr>
              <w:t>1С:Кабинет сотрудника, 750 кабинетов на 12 месяцев</w:t>
            </w:r>
          </w:p>
        </w:tc>
        <w:tc>
          <w:tcPr>
            <w:tcW w:type="dxa" w:w="3439"/>
            <w:shd w:fill="FFFBEA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r>
              <w:rPr>
                <w:rFonts w:ascii="Arial" w:hAnsi="Arial" w:eastAsia="Arial"/>
                <w:b w:val="0"/>
                <w:color w:val="5C5C5C"/>
                <w:sz w:val="15"/>
              </w:rPr>
              <w:t>Пакеты: 500 + 200 + 50 кабинетов</w:t>
            </w:r>
          </w:p>
        </w:tc>
        <w:tc>
          <w:tcPr>
            <w:tcW w:type="dxa" w:w="3439"/>
            <w:shd w:fill="FFFBEA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pPr>
              <w:jc w:val="right"/>
            </w:pPr>
            <w:r>
              <w:rPr>
                <w:rFonts w:ascii="Arial" w:hAnsi="Arial" w:eastAsia="Arial"/>
                <w:b/>
                <w:color w:val="2B2B2B"/>
                <w:sz w:val="18"/>
              </w:rPr>
              <w:t>223 200</w:t>
            </w:r>
          </w:p>
        </w:tc>
      </w:tr>
      <w:tr>
        <w:trPr>
          <w:cantSplit/>
        </w:trPr>
        <w:tc>
          <w:tcPr>
            <w:tcW w:type="dxa" w:w="3439"/>
            <w:shd w:fill="FFF6D8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16"/>
              </w:rPr>
              <w:t>Настройка и запуск сервиса (≈4 часа)</w:t>
            </w:r>
          </w:p>
        </w:tc>
        <w:tc>
          <w:tcPr>
            <w:tcW w:type="dxa" w:w="3439"/>
            <w:shd w:fill="FFF6D8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r>
              <w:rPr>
                <w:rFonts w:ascii="Arial" w:hAnsi="Arial" w:eastAsia="Arial"/>
                <w:b w:val="0"/>
                <w:color w:val="5C5C5C"/>
                <w:sz w:val="15"/>
              </w:rPr>
              <w:t>Покрывается подарочными часами линии консультаций</w:t>
            </w:r>
          </w:p>
        </w:tc>
        <w:tc>
          <w:tcPr>
            <w:tcW w:type="dxa" w:w="3439"/>
            <w:shd w:fill="FFF6D8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pPr>
              <w:jc w:val="right"/>
            </w:pPr>
            <w:r>
              <w:rPr>
                <w:rFonts w:ascii="Arial" w:hAnsi="Arial" w:eastAsia="Arial"/>
                <w:b/>
                <w:color w:val="2E7D32"/>
                <w:sz w:val="18"/>
              </w:rPr>
              <w:t>0 ₽</w:t>
            </w:r>
          </w:p>
        </w:tc>
      </w:tr>
      <w:tr>
        <w:trPr>
          <w:cantSplit/>
        </w:trPr>
        <w:tc>
          <w:tcPr>
            <w:tcW w:type="dxa" w:w="3439"/>
            <w:shd w:fill="FFF6D8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16"/>
              </w:rPr>
              <w:t>Запас на вопросы по 1С (1 час)</w:t>
            </w:r>
          </w:p>
        </w:tc>
        <w:tc>
          <w:tcPr>
            <w:tcW w:type="dxa" w:w="3439"/>
            <w:shd w:fill="FFF6D8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r>
              <w:rPr>
                <w:rFonts w:ascii="Arial" w:hAnsi="Arial" w:eastAsia="Arial"/>
                <w:b w:val="0"/>
                <w:color w:val="5C5C5C"/>
                <w:sz w:val="15"/>
              </w:rPr>
              <w:t>Покрывается подарочными часами линии консультаций</w:t>
            </w:r>
          </w:p>
        </w:tc>
        <w:tc>
          <w:tcPr>
            <w:tcW w:type="dxa" w:w="3439"/>
            <w:shd w:fill="FFF6D8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pPr>
              <w:jc w:val="right"/>
            </w:pPr>
            <w:r>
              <w:rPr>
                <w:rFonts w:ascii="Arial" w:hAnsi="Arial" w:eastAsia="Arial"/>
                <w:b/>
                <w:color w:val="2E7D32"/>
                <w:sz w:val="18"/>
              </w:rPr>
              <w:t>0 ₽</w:t>
            </w:r>
          </w:p>
        </w:tc>
      </w:tr>
      <w:tr>
        <w:trPr>
          <w:cantSplit/>
        </w:trPr>
        <w:tc>
          <w:tcPr>
            <w:tcW w:type="dxa" w:w="3439"/>
            <w:shd w:fill="FFF6D8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16"/>
              </w:rPr>
              <w:t>ПОДАРОК: 5 часов линии консультаций</w:t>
            </w:r>
          </w:p>
        </w:tc>
        <w:tc>
          <w:tcPr>
            <w:tcW w:type="dxa" w:w="3439"/>
            <w:shd w:fill="FFF6D8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r>
              <w:rPr>
                <w:rFonts w:ascii="Arial" w:hAnsi="Arial" w:eastAsia="Arial"/>
                <w:b w:val="0"/>
                <w:color w:val="5C5C5C"/>
                <w:sz w:val="15"/>
              </w:rPr>
              <w:t>Акция «Больше  чем кешбэк!» — выгода 18 300 ₽</w:t>
            </w:r>
          </w:p>
        </w:tc>
        <w:tc>
          <w:tcPr>
            <w:tcW w:type="dxa" w:w="3439"/>
            <w:shd w:fill="FFF6D8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pPr>
              <w:jc w:val="right"/>
            </w:pPr>
            <w:r>
              <w:rPr>
                <w:rFonts w:ascii="Arial" w:hAnsi="Arial" w:eastAsia="Arial"/>
                <w:b/>
                <w:color w:val="2E7D32"/>
                <w:sz w:val="18"/>
              </w:rPr>
              <w:t>0 ₽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F0C14A"/>
          <w:left w:val="single" w:sz="12" w:space="0" w:color="F0C14A"/>
          <w:bottom w:val="single" w:sz="12" w:space="0" w:color="F0C14A"/>
          <w:right w:val="single" w:sz="12" w:space="0" w:color="F0C14A"/>
          <w:insideH w:val="single" w:sz="12" w:space="0" w:color="F0C14A"/>
          <w:insideV w:val="single" w:sz="12" w:space="0" w:color="F0C14A"/>
        </w:tblBorders>
      </w:tblPr>
      <w:tblGrid>
        <w:gridCol w:w="5159"/>
        <w:gridCol w:w="5159"/>
      </w:tblGrid>
      <w:tr>
        <w:trPr>
          <w:cantSplit/>
        </w:trPr>
        <w:tc>
          <w:tcPr>
            <w:tcW w:type="dxa" w:w="5159"/>
            <w:shd w:fill="F0C14A" w:val="clear"/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18"/>
              </w:rPr>
              <w:t>ИТОГО К ОПЛАТЕ</w:t>
            </w:r>
          </w:p>
          <w:p>
            <w:pPr>
              <w:spacing w:before="20" w:after="0"/>
            </w:pPr>
            <w:r>
              <w:rPr>
                <w:rFonts w:ascii="Arial" w:hAnsi="Arial" w:eastAsia="Arial"/>
                <w:b w:val="0"/>
                <w:color w:val="2B2B2B"/>
                <w:sz w:val="15"/>
              </w:rPr>
              <w:t>Только пакет кабинетов. Настройка и поддержка — из подарка. Подпись сотрудникам — бесплатно.</w:t>
            </w:r>
          </w:p>
        </w:tc>
        <w:tc>
          <w:tcPr>
            <w:tcW w:type="dxa" w:w="5159"/>
            <w:shd w:fill="F0C14A" w:val="clear"/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pPr>
              <w:jc w:val="right"/>
            </w:pPr>
            <w:r>
              <w:rPr>
                <w:rFonts w:ascii="Arial" w:hAnsi="Arial" w:eastAsia="Arial"/>
                <w:b/>
                <w:color w:val="2B2B2B"/>
                <w:sz w:val="28"/>
              </w:rPr>
              <w:t>223 200 ₽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52000" cy="55701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rus_logo_docx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570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59"/>
          </w:tcPr>
          <w:p>
            <w:pPr>
              <w:jc w:val="right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+7 (3952) 78-00-00  ·  www.forus.ru</w:t>
            </w:r>
          </w:p>
        </w:tc>
      </w:tr>
    </w:tbl>
    <w:p>
      <w:pPr>
        <w:spacing w:after="40" w:before="80"/>
        <w:pBdr>
          <w:bottom w:val="single" w:sz="22" w:space="2" w:color="F0C14A"/>
        </w:pBdr>
      </w:pPr>
      <w:r>
        <w:rPr>
          <w:rFonts w:ascii="Arial" w:hAnsi="Arial" w:eastAsia="Arial"/>
          <w:b/>
          <w:color w:val="2B2B2B"/>
          <w:sz w:val="24"/>
        </w:rPr>
        <w:t>Внедрение у Форус vs другие операторы</w:t>
      </w:r>
    </w:p>
    <w:p>
      <w:pPr>
        <w:spacing w:after="120" w:before="0"/>
      </w:pPr>
      <w:r>
        <w:rPr>
          <w:rFonts w:ascii="Arial" w:hAnsi="Arial" w:eastAsia="Arial"/>
          <w:b w:val="0"/>
          <w:color w:val="5C5C5C"/>
          <w:sz w:val="18"/>
        </w:rPr>
        <w:t>Сравнение по ключевым параметрам для компании на 750 сотрудников. Красным выделены самые невыгодные условия у конкурентов.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F0C14A"/>
          <w:left w:val="single" w:sz="8" w:space="0" w:color="F0C14A"/>
          <w:bottom w:val="single" w:sz="8" w:space="0" w:color="F0C14A"/>
          <w:right w:val="single" w:sz="8" w:space="0" w:color="F0C14A"/>
          <w:insideH w:val="single" w:sz="8" w:space="0" w:color="F0C14A"/>
          <w:insideV w:val="single" w:sz="8" w:space="0" w:color="F0C14A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  <w:shd w:fill="F0C14A" w:val="clear"/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2B2B2B"/>
                <w:sz w:val="16"/>
              </w:rPr>
              <w:t>Параметр</w:t>
            </w:r>
          </w:p>
        </w:tc>
        <w:tc>
          <w:tcPr>
            <w:tcW w:type="dxa" w:w="2064"/>
            <w:shd w:fill="FFE08A" w:val="clear"/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16"/>
              </w:rPr>
              <w:t>Форус + 1С:Кабинет</w:t>
            </w:r>
          </w:p>
        </w:tc>
        <w:tc>
          <w:tcPr>
            <w:tcW w:type="dxa" w:w="2064"/>
            <w:shd w:fill="F0C14A" w:val="clear"/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16"/>
              </w:rPr>
              <w:t>HRlink / VK HR Tek</w:t>
            </w:r>
          </w:p>
        </w:tc>
        <w:tc>
          <w:tcPr>
            <w:tcW w:type="dxa" w:w="2064"/>
            <w:shd w:fill="F0C14A" w:val="clear"/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16"/>
              </w:rPr>
              <w:t>Контур КЭДО</w:t>
            </w:r>
          </w:p>
        </w:tc>
        <w:tc>
          <w:tcPr>
            <w:tcW w:type="dxa" w:w="2064"/>
            <w:shd w:fill="F0C14A" w:val="clear"/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16"/>
              </w:rPr>
              <w:t>Saby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2B2B2B"/>
                <w:sz w:val="15"/>
              </w:rPr>
              <w:t>Работа внутри вашей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E7D32"/>
                <w:sz w:val="15"/>
              </w:rPr>
              <w:t>Да — без новой платформы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Нет — отдельная система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Нет — отдельная система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Нет — отдельная система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2B2B2B"/>
                <w:sz w:val="15"/>
              </w:rPr>
              <w:t>Двойной ввод данных кадровиком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E7D32"/>
                <w:sz w:val="15"/>
              </w:rPr>
              <w:t>Нет — заявления сразу становятся документами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Часто нужен перенос и сверка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Часто нужен перенос и сверка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Часто нужен перенос и сверка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2B2B2B"/>
                <w:sz w:val="15"/>
              </w:rPr>
              <w:t>Где хранятся документы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E7D32"/>
                <w:sz w:val="15"/>
              </w:rPr>
              <w:t>В вашей базе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Облако оператора (часто платно)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Облако / доп. хранилище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Облако оператора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2B2B2B"/>
                <w:sz w:val="15"/>
              </w:rPr>
              <w:t>Электронная подпись сотрудникам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E7D32"/>
                <w:sz w:val="15"/>
              </w:rPr>
              <w:t>Бесплатно (усиленная неквалифицированная)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Часто платные сертификаты / пакеты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Часто платные сертификаты / пакеты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Часто платные сертификаты / пакеты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2B2B2B"/>
                <w:sz w:val="15"/>
              </w:rPr>
              <w:t>Сложность внедрения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E7D32"/>
                <w:sz w:val="15"/>
              </w:rPr>
              <w:t>Быстрый старт в привычной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Долгая интеграция с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Долгая интеграция с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Долгая интеграция с 1С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2B2B2B"/>
                <w:sz w:val="15"/>
              </w:rPr>
              <w:t>Нагрузка на ИТ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E7D32"/>
                <w:sz w:val="15"/>
              </w:rPr>
              <w:t>Без новых клиентских лицензий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Новая система + интеграции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Новая система + интеграции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Новая система + интеграции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2B2B2B"/>
                <w:sz w:val="15"/>
              </w:rPr>
              <w:t>Стоимость владения на старте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E7D32"/>
                <w:sz w:val="15"/>
              </w:rPr>
              <w:t>Пакет кабинетов + подарочные часы линии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Лицензии + внедрение + хранение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Лицензии + внедрение + хранение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Лицензии + внедрение + хранение</w:t>
            </w:r>
          </w:p>
        </w:tc>
      </w:tr>
    </w:tbl>
    <w:p>
      <w:pPr>
        <w:spacing w:after="160" w:before="0"/>
      </w:pPr>
      <w:r>
        <w:rPr>
          <w:rFonts w:ascii="Arial" w:hAnsi="Arial" w:eastAsia="Arial"/>
          <w:b w:val="0"/>
          <w:color w:val="2B2B2B"/>
          <w:sz w:val="2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F0C14A"/>
          <w:left w:val="single" w:sz="12" w:space="0" w:color="F0C14A"/>
          <w:bottom w:val="single" w:sz="12" w:space="0" w:color="F0C14A"/>
          <w:right w:val="single" w:sz="12" w:space="0" w:color="F0C14A"/>
          <w:insideH w:val="single" w:sz="12" w:space="0" w:color="F0C14A"/>
          <w:insideV w:val="single" w:sz="12" w:space="0" w:color="F0C14A"/>
        </w:tblBorders>
      </w:tblPr>
      <w:tblGrid>
        <w:gridCol w:w="10318"/>
      </w:tblGrid>
      <w:tr>
        <w:tc>
          <w:tcPr>
            <w:tcW w:type="dxa" w:w="10318"/>
            <w:shd w:fill="FFF6D8" w:val="clea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20"/>
              </w:rPr>
              <w:t>Вывод для корпоративного клиента</w:t>
            </w:r>
          </w:p>
          <w:p>
            <w:pPr>
              <w:spacing w:after="20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Отдельные операторы кадрового электронного документооборота почти всегда тянут за собой новую систему, двойную работу кадровика, платное хранение и долгую интеграцию с 1С.</w:t>
            </w:r>
          </w:p>
          <w:p>
            <w:pPr>
              <w:spacing w:after="20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С Форус вы остаётесь в привычной 1С, получаете подарочные часы поддержки и прозрачную стоимость пакета.</w:t>
            </w:r>
          </w:p>
        </w:tc>
      </w:tr>
    </w:tbl>
    <w:p>
      <w:pPr>
        <w:spacing w:after="60"/>
      </w:pPr>
    </w:p>
    <w:p>
      <w:pPr>
        <w:spacing w:after="40" w:before="80"/>
        <w:pBdr>
          <w:bottom w:val="single" w:sz="22" w:space="2" w:color="F0C14A"/>
        </w:pBdr>
      </w:pPr>
      <w:r>
        <w:rPr>
          <w:rFonts w:ascii="Arial" w:hAnsi="Arial" w:eastAsia="Arial"/>
          <w:b/>
          <w:color w:val="2B2B2B"/>
          <w:sz w:val="24"/>
        </w:rPr>
        <w:t>Как мы запускаем сервис у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F0C14A"/>
          <w:left w:val="single" w:sz="8" w:space="0" w:color="F0C14A"/>
          <w:bottom w:val="single" w:sz="8" w:space="0" w:color="F0C14A"/>
          <w:right w:val="single" w:sz="8" w:space="0" w:color="F0C14A"/>
          <w:insideH w:val="single" w:sz="8" w:space="0" w:color="F0C14A"/>
          <w:insideV w:val="single" w:sz="8" w:space="0" w:color="F0C14A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  <w:shd w:fill="FFFBEA" w:val="clear"/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9A7A10"/>
                <w:sz w:val="24"/>
              </w:rPr>
              <w:t>01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18"/>
              </w:rPr>
              <w:t>Подключение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Подключаем сервис к вашей 1С</w:t>
            </w:r>
          </w:p>
        </w:tc>
        <w:tc>
          <w:tcPr>
            <w:tcW w:type="dxa" w:w="2064"/>
            <w:shd w:fill="FFFBEA" w:val="clear"/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9A7A10"/>
                <w:sz w:val="24"/>
              </w:rPr>
              <w:t>02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18"/>
              </w:rPr>
              <w:t>Настройка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Роли, процессы, печатные формы</w:t>
            </w:r>
          </w:p>
        </w:tc>
        <w:tc>
          <w:tcPr>
            <w:tcW w:type="dxa" w:w="2064"/>
            <w:shd w:fill="FFFBEA" w:val="clear"/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9A7A10"/>
                <w:sz w:val="24"/>
              </w:rPr>
              <w:t>03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18"/>
              </w:rPr>
              <w:t>Подписи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Выпуск подписей сотрудникам</w:t>
            </w:r>
          </w:p>
        </w:tc>
        <w:tc>
          <w:tcPr>
            <w:tcW w:type="dxa" w:w="2064"/>
            <w:shd w:fill="FFFBEA" w:val="clear"/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9A7A10"/>
                <w:sz w:val="24"/>
              </w:rPr>
              <w:t>04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18"/>
              </w:rPr>
              <w:t>Обучение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Видеоуроки и короткие инструкции</w:t>
            </w:r>
          </w:p>
        </w:tc>
        <w:tc>
          <w:tcPr>
            <w:tcW w:type="dxa" w:w="2064"/>
            <w:shd w:fill="FFFBEA" w:val="clear"/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9A7A10"/>
                <w:sz w:val="24"/>
              </w:rPr>
              <w:t>05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18"/>
              </w:rPr>
              <w:t>Старт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Заявления, расчётные, согласования</w:t>
            </w:r>
          </w:p>
        </w:tc>
      </w:tr>
    </w:tbl>
    <w:p>
      <w:pPr>
        <w:spacing w:after="160" w:before="0"/>
      </w:pPr>
      <w:r>
        <w:rPr>
          <w:rFonts w:ascii="Arial" w:hAnsi="Arial" w:eastAsia="Arial"/>
          <w:b w:val="0"/>
          <w:color w:val="2B2B2B"/>
          <w:sz w:val="20"/>
        </w:rPr>
      </w:r>
    </w:p>
    <w:p>
      <w:pPr>
        <w:spacing w:after="40" w:before="80"/>
        <w:pBdr>
          <w:bottom w:val="single" w:sz="22" w:space="2" w:color="F0C14A"/>
        </w:pBdr>
      </w:pPr>
      <w:r>
        <w:rPr>
          <w:rFonts w:ascii="Arial" w:hAnsi="Arial" w:eastAsia="Arial"/>
          <w:b/>
          <w:color w:val="2B2B2B"/>
          <w:sz w:val="24"/>
        </w:rPr>
        <w:t>Почему Форус</w:t>
      </w:r>
    </w:p>
    <w:p>
      <w:pPr>
        <w:spacing w:after="60"/>
      </w:pPr>
      <w:r>
        <w:rPr>
          <w:rFonts w:ascii="Arial" w:hAnsi="Arial" w:eastAsia="Arial"/>
          <w:b/>
          <w:color w:val="9A7A10"/>
          <w:sz w:val="20"/>
        </w:rPr>
        <w:t xml:space="preserve">●  </w:t>
      </w:r>
      <w:r>
        <w:rPr>
          <w:rFonts w:ascii="Arial" w:hAnsi="Arial" w:eastAsia="Arial"/>
          <w:b w:val="0"/>
          <w:color w:val="2B2B2B"/>
          <w:sz w:val="20"/>
        </w:rPr>
        <w:t>Центр компетенции по кадровому электронному документообороту и по управлению персоналом</w:t>
      </w:r>
    </w:p>
    <w:p>
      <w:pPr>
        <w:spacing w:after="60"/>
      </w:pPr>
      <w:r>
        <w:rPr>
          <w:rFonts w:ascii="Arial" w:hAnsi="Arial" w:eastAsia="Arial"/>
          <w:b/>
          <w:color w:val="9A7A10"/>
          <w:sz w:val="20"/>
        </w:rPr>
        <w:t xml:space="preserve">●  </w:t>
      </w:r>
      <w:r>
        <w:rPr>
          <w:rFonts w:ascii="Arial" w:hAnsi="Arial" w:eastAsia="Arial"/>
          <w:b w:val="0"/>
          <w:color w:val="2B2B2B"/>
          <w:sz w:val="20"/>
        </w:rPr>
        <w:t>ТОП-5 дистрибьюторов 1С в России · более 10 000 клиентов на сопровождении</w:t>
      </w:r>
    </w:p>
    <w:p>
      <w:pPr>
        <w:spacing w:after="60"/>
      </w:pPr>
      <w:r>
        <w:rPr>
          <w:rFonts w:ascii="Arial" w:hAnsi="Arial" w:eastAsia="Arial"/>
          <w:b/>
          <w:color w:val="9A7A10"/>
          <w:sz w:val="20"/>
        </w:rPr>
        <w:t xml:space="preserve">●  </w:t>
      </w:r>
      <w:r>
        <w:rPr>
          <w:rFonts w:ascii="Arial" w:hAnsi="Arial" w:eastAsia="Arial"/>
          <w:b w:val="0"/>
          <w:color w:val="2B2B2B"/>
          <w:sz w:val="20"/>
        </w:rPr>
        <w:t>Успешные внедрения, включая крупные сети (в том числе кейс DNS)</w:t>
      </w:r>
    </w:p>
    <w:p>
      <w:pPr>
        <w:spacing w:after="60"/>
      </w:pPr>
      <w:r>
        <w:rPr>
          <w:rFonts w:ascii="Arial" w:hAnsi="Arial" w:eastAsia="Arial"/>
          <w:b/>
          <w:color w:val="9A7A10"/>
          <w:sz w:val="20"/>
        </w:rPr>
        <w:t xml:space="preserve">●  </w:t>
      </w:r>
      <w:r>
        <w:rPr>
          <w:rFonts w:ascii="Arial" w:hAnsi="Arial" w:eastAsia="Arial"/>
          <w:b w:val="0"/>
          <w:color w:val="2B2B2B"/>
          <w:sz w:val="20"/>
        </w:rPr>
        <w:t>Шаблоны документов для перехода, видеоуроки и линия консультаций</w:t>
      </w:r>
    </w:p>
    <w:p>
      <w:pPr>
        <w:spacing w:after="200" w:before="0"/>
      </w:pPr>
      <w:r>
        <w:rPr>
          <w:rFonts w:ascii="Arial" w:hAnsi="Arial" w:eastAsia="Arial"/>
          <w:b w:val="0"/>
          <w:color w:val="2B2B2B"/>
          <w:sz w:val="2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4" w:space="0" w:color="F0C14A"/>
          <w:left w:val="single" w:sz="14" w:space="0" w:color="F0C14A"/>
          <w:bottom w:val="single" w:sz="14" w:space="0" w:color="F0C14A"/>
          <w:right w:val="single" w:sz="14" w:space="0" w:color="F0C14A"/>
          <w:insideH w:val="single" w:sz="14" w:space="0" w:color="F0C14A"/>
          <w:insideV w:val="single" w:sz="14" w:space="0" w:color="F0C14A"/>
        </w:tblBorders>
      </w:tblPr>
      <w:tblGrid>
        <w:gridCol w:w="10318"/>
      </w:tblGrid>
      <w:tr>
        <w:tc>
          <w:tcPr>
            <w:tcW w:type="dxa" w:w="10318"/>
            <w:shd w:fill="F0C14A" w:val="clear"/>
            <w:tcMar>
              <w:top w:w="7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24"/>
              </w:rPr>
              <w:t>Готовы зафиксировать условия и запустить 750 кабинетов?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2B2B2B"/>
                <w:sz w:val="18"/>
              </w:rPr>
              <w:t>Подключим сервис, начислим 5 подарочных часов и начнём настройку.</w:t>
            </w:r>
          </w:p>
        </w:tc>
      </w:tr>
      <w:tr>
        <w:tc>
          <w:tcPr>
            <w:tcW w:type="dxa" w:w="10318"/>
            <w:shd w:fill="FFF6D8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rFonts w:ascii="Arial" w:hAnsi="Arial" w:eastAsia="Arial"/>
                <w:b w:val="0"/>
                <w:color w:val="8A8A8A"/>
                <w:sz w:val="16"/>
              </w:rPr>
              <w:t>Ваш менеджер</w:t>
            </w:r>
          </w:p>
          <w:p>
            <w:r>
              <w:rPr>
                <w:rFonts w:ascii="Arial" w:hAnsi="Arial" w:eastAsia="Arial"/>
                <w:b/>
                <w:color w:val="2B2B2B"/>
                <w:sz w:val="26"/>
              </w:rPr>
              <w:t>Данил Кургузов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dkurguzov@forus.ru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+7 (3952) 78-00-00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www.forus.ru  ·  г. Иркутск, ул. Ямская, 1/1</w:t>
            </w:r>
          </w:p>
        </w:tc>
      </w:tr>
    </w:tbl>
    <w:sectPr w:rsidR="00FC693F" w:rsidRPr="0006063C" w:rsidSect="00034616">
      <w:pgSz w:w="11906" w:h="16838"/>
      <w:pgMar w:top="567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