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20" w:line="230" w:lineRule="auto"/>
      </w:pPr>
      <w:r>
        <w:rPr>
          <w:rFonts w:ascii="Calibri" w:hAnsi="Calibri" w:cs="Calibri" w:eastAsia="Calibri"/>
          <w:b/>
          <w:i w:val="0"/>
          <w:color w:val="1F5C73"/>
          <w:sz w:val="22"/>
        </w:rPr>
        <w:t>ГК «Форус»</w:t>
      </w:r>
    </w:p>
    <w:p>
      <w:pPr>
        <w:jc w:val="left"/>
        <w:spacing w:before="0" w:after="0" w:line="240" w:lineRule="auto"/>
      </w:pPr>
      <w:r>
        <w:rPr>
          <w:rFonts w:ascii="Calibri" w:hAnsi="Calibri" w:cs="Calibri" w:eastAsia="Calibri"/>
          <w:b/>
          <w:i w:val="0"/>
          <w:color w:val="12324D"/>
          <w:sz w:val="52"/>
        </w:rPr>
        <w:t>Программа тренинга</w:t>
      </w:r>
    </w:p>
    <w:p>
      <w:pPr>
        <w:jc w:val="left"/>
        <w:spacing w:before="40" w:after="120" w:line="240" w:lineRule="auto"/>
      </w:pPr>
      <w:r>
        <w:rPr>
          <w:rFonts w:ascii="Calibri" w:hAnsi="Calibri" w:cs="Calibri" w:eastAsia="Calibri"/>
          <w:b w:val="0"/>
          <w:i w:val="0"/>
          <w:color w:val="1C2833"/>
          <w:sz w:val="28"/>
        </w:rPr>
        <w:t>Переход на кадровый электронный документооборот</w:t>
      </w:r>
    </w:p>
    <w:p>
      <w:pPr>
        <w:spacing w:before="0" w:after="40" w:line="230" w:lineRule="auto"/>
      </w:pPr>
      <w:r>
        <w:rPr>
          <w:rFonts w:ascii="Calibri" w:hAnsi="Calibri" w:cs="Calibri" w:eastAsia="Calibri"/>
          <w:b/>
          <w:i w:val="0"/>
          <w:color w:val="12324D"/>
          <w:sz w:val="24"/>
        </w:rPr>
        <w:t>12 и 13 ноября 2026</w:t>
      </w:r>
      <w:r>
        <w:rPr>
          <w:rFonts w:ascii="Calibri" w:hAnsi="Calibri" w:cs="Calibri" w:eastAsia="Calibri"/>
          <w:b w:val="0"/>
          <w:i w:val="0"/>
          <w:color w:val="B0B8BE"/>
          <w:sz w:val="24"/>
        </w:rPr>
        <w:t xml:space="preserve">   ·   </w:t>
      </w:r>
      <w:r>
        <w:rPr>
          <w:rFonts w:ascii="Calibri" w:hAnsi="Calibri" w:cs="Calibri" w:eastAsia="Calibri"/>
          <w:b w:val="0"/>
          <w:i w:val="0"/>
          <w:color w:val="5E6A75"/>
          <w:sz w:val="24"/>
        </w:rPr>
        <w:t>около 3 часов</w:t>
      </w:r>
    </w:p>
    <w:p>
      <w:pPr>
        <w:spacing w:before="120" w:after="40" w:line="236" w:lineRule="auto"/>
      </w:pPr>
      <w:r>
        <w:rPr>
          <w:rFonts w:ascii="Calibri" w:hAnsi="Calibri" w:cs="Calibri" w:eastAsia="Calibri"/>
          <w:b/>
          <w:i w:val="0"/>
          <w:color w:val="12324D"/>
          <w:sz w:val="22"/>
        </w:rPr>
        <w:t xml:space="preserve">Для кого. </w:t>
      </w:r>
      <w:r>
        <w:rPr>
          <w:rFonts w:ascii="Calibri" w:hAnsi="Calibri" w:cs="Calibri" w:eastAsia="Calibri"/>
          <w:b w:val="0"/>
          <w:i w:val="0"/>
          <w:color w:val="1C2833"/>
          <w:sz w:val="22"/>
        </w:rPr>
        <w:t>Кадровые специалисты, HR и менеджеры по персоналу: кто планирует переход на КЭДО и кто уже ведёт его частично.</w:t>
      </w:r>
    </w:p>
    <w:p>
      <w:pPr>
        <w:spacing w:before="0" w:after="160" w:line="236" w:lineRule="auto"/>
        <w:pBdr>
          <w:bottom w:val="single" w:sz="12" w:space="1" w:color="12324D"/>
        </w:pBdr>
      </w:pPr>
      <w:r>
        <w:rPr>
          <w:rFonts w:ascii="Calibri" w:hAnsi="Calibri" w:cs="Calibri" w:eastAsia="Calibri"/>
          <w:b/>
          <w:i w:val="0"/>
          <w:color w:val="12324D"/>
          <w:sz w:val="22"/>
        </w:rPr>
        <w:t xml:space="preserve">Что заберёте с собой. </w:t>
      </w:r>
      <w:r>
        <w:rPr>
          <w:rFonts w:ascii="Calibri" w:hAnsi="Calibri" w:cs="Calibri" w:eastAsia="Calibri"/>
          <w:b w:val="0"/>
          <w:i w:val="0"/>
          <w:color w:val="1C2833"/>
          <w:sz w:val="22"/>
        </w:rPr>
        <w:t>Правила перехода, структуру положения о КЭДО, чек-лист со сроками и ответственными, порядок старта в 1С:Кабинет сотрудника.</w:t>
      </w:r>
    </w:p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219"/>
        <w:gridCol w:w="8873"/>
      </w:tblGrid>
      <w:tr>
        <w:trPr>
          <w:cantSplit/>
        </w:trPr>
        <w:tc>
          <w:tcPr>
            <w:tcW w:type="dxa" w:w="1219"/>
            <w:vAlign w:val="top"/>
            <w:shd w:val="clear" w:color="auto" w:fill="F3F6F8"/>
            <w:tcMar>
              <w:top w:w="90" w:type="dxa"/>
              <w:left w:w="80" w:type="dxa"/>
              <w:bottom w:w="80" w:type="dxa"/>
              <w:right w:w="60" w:type="dxa"/>
            </w:tcMar>
          </w:tcPr>
          <w:p>
            <w:pPr>
              <w:jc w:val="left"/>
              <w:spacing w:before="0" w:after="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12324D"/>
                <w:sz w:val="22"/>
              </w:rPr>
              <w:t>35 мин</w:t>
            </w:r>
          </w:p>
        </w:tc>
        <w:tc>
          <w:tcPr>
            <w:tcW w:type="dxa" w:w="8873"/>
            <w:vAlign w:val="top"/>
            <w:shd w:val="clear" w:color="auto" w:fill="FFFFFF"/>
            <w:tcMar>
              <w:top w:w="80" w:type="dxa"/>
              <w:left w:w="140" w:type="dxa"/>
              <w:bottom w:w="90" w:type="dxa"/>
              <w:right w:w="80" w:type="dxa"/>
            </w:tcMar>
          </w:tcPr>
          <w:p>
            <w:pPr>
              <w:jc w:val="left"/>
              <w:spacing w:before="0" w:after="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12324D"/>
                <w:sz w:val="26"/>
              </w:rPr>
              <w:t>Часть 1. Правила перехода на КЭДО</w:t>
            </w:r>
          </w:p>
          <w:p>
            <w:pPr>
              <w:spacing w:before="40" w:after="20" w:line="226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2"/>
              </w:rPr>
              <w:t>Как сейчас переходят компании и что уже требует закон.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Порядок перевода: как информировать сотрудников, какие документы переводить и какая ответственность уже действует.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Что сокращает сроки и расходы: подписание, удалённые сотрудники, архив, статусы документов.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Какие риски закрыть до старта: проверки и штрафы, отказ сотрудника, двойной учёт.</w:t>
            </w:r>
          </w:p>
          <w:p>
            <w:pPr>
              <w:spacing w:before="60" w:after="0" w:line="226" w:lineRule="auto"/>
            </w:pPr>
            <w:r>
              <w:rPr>
                <w:rFonts w:ascii="Calibri" w:hAnsi="Calibri" w:cs="Calibri" w:eastAsia="Calibri"/>
                <w:b/>
                <w:i w:val="0"/>
                <w:color w:val="1F5C73"/>
                <w:sz w:val="21"/>
              </w:rPr>
              <w:t xml:space="preserve">Практика. </w:t>
            </w: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Соберёте аргументы для руководителя: что даёт КЭДО и какие риски снимаются на старте.</w:t>
            </w:r>
          </w:p>
        </w:tc>
      </w:tr>
    </w:tbl>
    <w:p>
      <w:pPr>
        <w:spacing w:before="0" w:after="40" w:line="80" w:lineRule="auto"/>
      </w:pPr>
    </w:p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219"/>
        <w:gridCol w:w="8873"/>
      </w:tblGrid>
      <w:tr>
        <w:trPr>
          <w:cantSplit/>
        </w:trPr>
        <w:tc>
          <w:tcPr>
            <w:tcW w:type="dxa" w:w="1219"/>
            <w:vAlign w:val="top"/>
            <w:shd w:val="clear" w:color="auto" w:fill="F3F6F8"/>
            <w:tcMar>
              <w:top w:w="90" w:type="dxa"/>
              <w:left w:w="80" w:type="dxa"/>
              <w:bottom w:w="80" w:type="dxa"/>
              <w:right w:w="60" w:type="dxa"/>
            </w:tcMar>
          </w:tcPr>
          <w:p>
            <w:pPr>
              <w:jc w:val="left"/>
              <w:spacing w:before="0" w:after="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12324D"/>
                <w:sz w:val="22"/>
              </w:rPr>
              <w:t>17 мин</w:t>
            </w:r>
          </w:p>
        </w:tc>
        <w:tc>
          <w:tcPr>
            <w:tcW w:type="dxa" w:w="8873"/>
            <w:vAlign w:val="top"/>
            <w:shd w:val="clear" w:color="auto" w:fill="FFFFFF"/>
            <w:tcMar>
              <w:top w:w="80" w:type="dxa"/>
              <w:left w:w="140" w:type="dxa"/>
              <w:bottom w:w="90" w:type="dxa"/>
              <w:right w:w="80" w:type="dxa"/>
            </w:tcMar>
          </w:tcPr>
          <w:p>
            <w:pPr>
              <w:jc w:val="left"/>
              <w:spacing w:before="0" w:after="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12324D"/>
                <w:sz w:val="26"/>
              </w:rPr>
              <w:t>Часть 2. Персональные данные: пять ошибок кадровика</w:t>
            </w:r>
          </w:p>
          <w:p>
            <w:pPr>
              <w:spacing w:before="40" w:after="20" w:line="226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2"/>
              </w:rPr>
              <w:t>Какие ошибки в работе с персональными данными чаще всего приводят к штрафам и как их исправить до проверки.</w:t>
            </w:r>
          </w:p>
          <w:p>
            <w:pPr>
              <w:spacing w:before="60" w:after="0" w:line="226" w:lineRule="auto"/>
            </w:pPr>
            <w:r>
              <w:rPr>
                <w:rFonts w:ascii="Calibri" w:hAnsi="Calibri" w:cs="Calibri" w:eastAsia="Calibri"/>
                <w:b/>
                <w:i w:val="0"/>
                <w:color w:val="1F5C73"/>
                <w:sz w:val="21"/>
              </w:rPr>
              <w:t xml:space="preserve">Практика. </w:t>
            </w: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Разложите требования и штрафы по органам: Государственная инспекция труда, Роскомнадзор, Социальный фонд, ФНС.</w:t>
            </w:r>
          </w:p>
        </w:tc>
      </w:tr>
    </w:tbl>
    <w:p>
      <w:pPr>
        <w:spacing w:before="0" w:after="40" w:line="80" w:lineRule="auto"/>
      </w:pPr>
    </w:p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219"/>
        <w:gridCol w:w="8873"/>
      </w:tblGrid>
      <w:tr>
        <w:trPr>
          <w:cantSplit/>
        </w:trPr>
        <w:tc>
          <w:tcPr>
            <w:tcW w:type="dxa" w:w="1219"/>
            <w:vAlign w:val="top"/>
            <w:shd w:val="clear" w:color="auto" w:fill="F7F1E8"/>
            <w:tcMar>
              <w:top w:w="70" w:type="dxa"/>
              <w:left w:w="80" w:type="dxa"/>
              <w:bottom w:w="70" w:type="dxa"/>
              <w:right w:w="60" w:type="dxa"/>
            </w:tcMar>
          </w:tcPr>
          <w:p>
            <w:pPr>
              <w:jc w:val="left"/>
              <w:spacing w:before="0" w:after="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12324D"/>
                <w:sz w:val="22"/>
              </w:rPr>
              <w:t>15 мин</w:t>
            </w:r>
          </w:p>
        </w:tc>
        <w:tc>
          <w:tcPr>
            <w:tcW w:type="dxa" w:w="8873"/>
            <w:vAlign w:val="top"/>
            <w:shd w:val="clear" w:color="auto" w:fill="F7F1E8"/>
            <w:tcMar>
              <w:top w:w="70" w:type="dxa"/>
              <w:left w:w="80" w:type="dxa"/>
              <w:bottom w:w="70" w:type="dxa"/>
              <w:right w:w="80" w:type="dxa"/>
            </w:tcMar>
          </w:tcPr>
          <w:p>
            <w:pPr>
              <w:jc w:val="left"/>
              <w:spacing w:before="0" w:after="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12324D"/>
                <w:sz w:val="26"/>
              </w:rPr>
              <w:t>Кофе-брейк</w:t>
            </w:r>
          </w:p>
        </w:tc>
      </w:tr>
    </w:tbl>
    <w:p>
      <w:pPr>
        <w:spacing w:before="0" w:after="40" w:line="80" w:lineRule="auto"/>
      </w:pPr>
    </w:p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219"/>
        <w:gridCol w:w="8873"/>
      </w:tblGrid>
      <w:tr>
        <w:trPr>
          <w:cantSplit/>
        </w:trPr>
        <w:tc>
          <w:tcPr>
            <w:tcW w:type="dxa" w:w="1219"/>
            <w:vAlign w:val="top"/>
            <w:shd w:val="clear" w:color="auto" w:fill="F3F6F8"/>
            <w:tcMar>
              <w:top w:w="90" w:type="dxa"/>
              <w:left w:w="80" w:type="dxa"/>
              <w:bottom w:w="80" w:type="dxa"/>
              <w:right w:w="60" w:type="dxa"/>
            </w:tcMar>
          </w:tcPr>
          <w:p>
            <w:pPr>
              <w:jc w:val="left"/>
              <w:spacing w:before="0" w:after="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12324D"/>
                <w:sz w:val="22"/>
              </w:rPr>
              <w:t>27 мин</w:t>
            </w:r>
          </w:p>
        </w:tc>
        <w:tc>
          <w:tcPr>
            <w:tcW w:type="dxa" w:w="8873"/>
            <w:vAlign w:val="top"/>
            <w:shd w:val="clear" w:color="auto" w:fill="FFFFFF"/>
            <w:tcMar>
              <w:top w:w="80" w:type="dxa"/>
              <w:left w:w="140" w:type="dxa"/>
              <w:bottom w:w="90" w:type="dxa"/>
              <w:right w:w="80" w:type="dxa"/>
            </w:tcMar>
          </w:tcPr>
          <w:p>
            <w:pPr>
              <w:jc w:val="left"/>
              <w:spacing w:before="0" w:after="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12324D"/>
                <w:sz w:val="26"/>
              </w:rPr>
              <w:t>Часть 3. Положение о КЭДО</w:t>
            </w:r>
          </w:p>
          <w:p>
            <w:pPr>
              <w:spacing w:before="40" w:after="20" w:line="226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2"/>
              </w:rPr>
              <w:t>Соберёте положение, которое можно отдать на согласование и дальше применять в работе.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Сроки, ответственные, система и личный кабинет сотрудника.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Состав документов и вид электронной подписи для каждого.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Маршруты и сроки согласования по ролям.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Доступы, хранение и архив.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Какие категории сотрудников участвуют в КЭДО.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Защита данных, резервное копирование, порядок на время технических работ.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Что изменить в должностной инструкции кадрового специалиста и в трудовом договоре.</w:t>
            </w:r>
          </w:p>
          <w:p>
            <w:pPr>
              <w:spacing w:before="60" w:after="0" w:line="226" w:lineRule="auto"/>
            </w:pPr>
            <w:r>
              <w:rPr>
                <w:rFonts w:ascii="Calibri" w:hAnsi="Calibri" w:cs="Calibri" w:eastAsia="Calibri"/>
                <w:b/>
                <w:i w:val="0"/>
                <w:color w:val="1F5C73"/>
                <w:sz w:val="21"/>
              </w:rPr>
              <w:t xml:space="preserve">Практика. </w:t>
            </w: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Проверите формулировки: что в положении обязательно, а что создаёт лишний риск.</w:t>
            </w:r>
          </w:p>
        </w:tc>
      </w:tr>
    </w:tbl>
    <w:p>
      <w:pPr>
        <w:spacing w:before="0" w:after="40" w:line="80" w:lineRule="auto"/>
      </w:pPr>
    </w:p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219"/>
        <w:gridCol w:w="8873"/>
      </w:tblGrid>
      <w:tr>
        <w:trPr>
          <w:cantSplit/>
        </w:trPr>
        <w:tc>
          <w:tcPr>
            <w:tcW w:type="dxa" w:w="1219"/>
            <w:vAlign w:val="top"/>
            <w:shd w:val="clear" w:color="auto" w:fill="F3F6F8"/>
            <w:tcMar>
              <w:top w:w="90" w:type="dxa"/>
              <w:left w:w="80" w:type="dxa"/>
              <w:bottom w:w="80" w:type="dxa"/>
              <w:right w:w="60" w:type="dxa"/>
            </w:tcMar>
          </w:tcPr>
          <w:p>
            <w:pPr>
              <w:jc w:val="left"/>
              <w:spacing w:before="0" w:after="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12324D"/>
                <w:sz w:val="22"/>
              </w:rPr>
              <w:t>60 мин</w:t>
            </w:r>
          </w:p>
        </w:tc>
        <w:tc>
          <w:tcPr>
            <w:tcW w:type="dxa" w:w="8873"/>
            <w:vAlign w:val="top"/>
            <w:shd w:val="clear" w:color="auto" w:fill="FFFFFF"/>
            <w:tcMar>
              <w:top w:w="80" w:type="dxa"/>
              <w:left w:w="140" w:type="dxa"/>
              <w:bottom w:w="90" w:type="dxa"/>
              <w:right w:w="80" w:type="dxa"/>
            </w:tcMar>
          </w:tcPr>
          <w:p>
            <w:pPr>
              <w:jc w:val="left"/>
              <w:spacing w:before="0" w:after="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12324D"/>
                <w:sz w:val="26"/>
              </w:rPr>
              <w:t>Часть 4. План перехода</w:t>
            </w:r>
          </w:p>
          <w:p>
            <w:pPr>
              <w:spacing w:before="40" w:after="20" w:line="226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2"/>
              </w:rPr>
              <w:t>Чек-лист запуска: шаблоны документов, сроки и ответственные по каждому шагу.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Пилотная группа и список кадровых операций.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Положение, приказ о его введении, канал для вопросов по проекту.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Обучение кадровой службы и назначение администратора.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Уведомление, заявление, согласие и ознакомление с положением.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Доступ в 1С:Кабинет сотрудника и выпуск электронной подписи сотрудника.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Поддержка сотрудников в первые дни работы.</w:t>
            </w:r>
          </w:p>
          <w:p>
            <w:pPr>
              <w:spacing w:before="60" w:after="0" w:line="226" w:lineRule="auto"/>
            </w:pPr>
            <w:r>
              <w:rPr>
                <w:rFonts w:ascii="Calibri" w:hAnsi="Calibri" w:cs="Calibri" w:eastAsia="Calibri"/>
                <w:b/>
                <w:i w:val="0"/>
                <w:color w:val="1F5C73"/>
                <w:sz w:val="21"/>
              </w:rPr>
              <w:t xml:space="preserve">Практика. </w:t>
            </w: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Соберёте план для небольшой компании и для крупной: этап, роль, задача.</w:t>
            </w:r>
          </w:p>
        </w:tc>
      </w:tr>
    </w:tbl>
    <w:p>
      <w:pPr>
        <w:spacing w:before="0" w:after="40" w:line="80" w:lineRule="auto"/>
      </w:pPr>
    </w:p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219"/>
        <w:gridCol w:w="8873"/>
      </w:tblGrid>
      <w:tr>
        <w:trPr>
          <w:cantSplit/>
        </w:trPr>
        <w:tc>
          <w:tcPr>
            <w:tcW w:type="dxa" w:w="1219"/>
            <w:vAlign w:val="top"/>
            <w:shd w:val="clear" w:color="auto" w:fill="F3F6F8"/>
            <w:tcMar>
              <w:top w:w="90" w:type="dxa"/>
              <w:left w:w="80" w:type="dxa"/>
              <w:bottom w:w="80" w:type="dxa"/>
              <w:right w:w="60" w:type="dxa"/>
            </w:tcMar>
          </w:tcPr>
          <w:p>
            <w:pPr>
              <w:jc w:val="left"/>
              <w:spacing w:before="0" w:after="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12324D"/>
                <w:sz w:val="22"/>
              </w:rPr>
              <w:t>20 мин</w:t>
            </w:r>
          </w:p>
        </w:tc>
        <w:tc>
          <w:tcPr>
            <w:tcW w:type="dxa" w:w="8873"/>
            <w:vAlign w:val="top"/>
            <w:shd w:val="clear" w:color="auto" w:fill="FFFFFF"/>
            <w:tcMar>
              <w:top w:w="80" w:type="dxa"/>
              <w:left w:w="140" w:type="dxa"/>
              <w:bottom w:w="90" w:type="dxa"/>
              <w:right w:w="80" w:type="dxa"/>
            </w:tcMar>
          </w:tcPr>
          <w:p>
            <w:pPr>
              <w:jc w:val="left"/>
              <w:spacing w:before="0" w:after="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12324D"/>
                <w:sz w:val="26"/>
              </w:rPr>
              <w:t>Часть 5. Старт в 1С:Кабинет сотрудника</w:t>
            </w:r>
          </w:p>
          <w:p>
            <w:pPr>
              <w:spacing w:before="40" w:after="20" w:line="226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2"/>
              </w:rPr>
              <w:t>Порядок начала работы и основные действия кадровика в сервисе.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Система уведомлений и расчётные листки.</w:t>
            </w:r>
          </w:p>
          <w:p>
            <w:pPr>
              <w:spacing w:before="0" w:after="0" w:line="220" w:lineRule="auto"/>
              <w:ind w:left="198" w:hanging="198"/>
            </w:pP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–  Какие настройки 1С:ЗУП закрывают процессы вашей компании.</w:t>
            </w:r>
          </w:p>
          <w:p>
            <w:pPr>
              <w:spacing w:before="60" w:after="0" w:line="226" w:lineRule="auto"/>
            </w:pPr>
            <w:r>
              <w:rPr>
                <w:rFonts w:ascii="Calibri" w:hAnsi="Calibri" w:cs="Calibri" w:eastAsia="Calibri"/>
                <w:b/>
                <w:i w:val="0"/>
                <w:color w:val="1F5C73"/>
                <w:sz w:val="21"/>
              </w:rPr>
              <w:t xml:space="preserve">Практика. </w:t>
            </w:r>
            <w:r>
              <w:rPr>
                <w:rFonts w:ascii="Calibri" w:hAnsi="Calibri" w:cs="Calibri" w:eastAsia="Calibri"/>
                <w:b w:val="0"/>
                <w:i w:val="0"/>
                <w:color w:val="1C2833"/>
                <w:sz w:val="21"/>
              </w:rPr>
              <w:t>На своём телефоне: расчётный листок, информирование сотрудника и основные действия в кабинете.</w:t>
            </w:r>
          </w:p>
        </w:tc>
      </w:tr>
    </w:tbl>
    <w:p>
      <w:pPr>
        <w:spacing w:before="0" w:after="40" w:line="80" w:lineRule="auto"/>
      </w:pPr>
    </w:p>
    <w:sectPr w:rsidR="00FC693F" w:rsidRPr="0006063C" w:rsidSect="00034616">
      <w:pgSz w:w="11906" w:h="16838"/>
      <w:pgMar w:top="765" w:right="907" w:bottom="737" w:left="907" w:header="283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color w:val="1C2833"/>
      <w:sz w:val="22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тренинга. Переход на кадровый электронный документооборот</dc:title>
  <dc:subject>Программа тренинга для кадровых специалистов и HR</dc:subject>
  <dc:creator>ГК Форус</dc:creator>
  <cp:keywords/>
  <dc:description/>
  <cp:lastModifiedBy>ГК Форус</cp:lastModifiedBy>
  <cp:revision>1</cp:revision>
  <dcterms:created xsi:type="dcterms:W3CDTF">2013-12-23T23:15:00Z</dcterms:created>
  <dcterms:modified xsi:type="dcterms:W3CDTF">2013-12-23T23:15:00Z</dcterms:modified>
  <cp:category>Программа мероприятия</cp:category>
</cp:coreProperties>
</file>