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2748F">
      <w:pPr>
        <w:spacing w:before="0" w:after="360" w:line="360" w:lineRule="auto"/>
        <w:jc w:val="center"/>
      </w:pPr>
      <w:r>
        <w:rPr>
          <w:rFonts w:ascii="黑体" w:hAnsi="黑体" w:eastAsia="黑体"/>
          <w:b/>
          <w:i w:val="0"/>
          <w:color w:val="000000"/>
          <w:sz w:val="36"/>
        </w:rPr>
        <w:t>红蓝对抗平台 — 任务书</w:t>
      </w:r>
    </w:p>
    <w:p w14:paraId="738216AA">
      <w:pPr>
        <w:spacing w:before="280" w:after="160" w:line="360" w:lineRule="auto"/>
      </w:pPr>
      <w:r>
        <w:rPr>
          <w:rFonts w:ascii="黑体" w:hAnsi="黑体" w:eastAsia="黑体"/>
          <w:b/>
          <w:i w:val="0"/>
          <w:color w:val="000000"/>
          <w:sz w:val="30"/>
        </w:rPr>
        <w:t>一、项目基本信息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568B6A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D9E2F3"/>
            <w:vAlign w:val="center"/>
          </w:tcPr>
          <w:p w14:paraId="1E66A486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w="4156" w:type="dxa"/>
            <w:shd w:val="clear" w:color="auto" w:fill="D9E2F3"/>
            <w:vAlign w:val="center"/>
          </w:tcPr>
          <w:p w14:paraId="28B80CD7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内容</w:t>
            </w:r>
          </w:p>
        </w:tc>
      </w:tr>
      <w:tr w14:paraId="300B9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7684E8FE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项目名称</w:t>
            </w:r>
          </w:p>
        </w:tc>
        <w:tc>
          <w:tcPr>
            <w:tcW w:w="4156" w:type="dxa"/>
            <w:vAlign w:val="center"/>
          </w:tcPr>
          <w:p w14:paraId="7ED112D4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红蓝对抗平台</w:t>
            </w:r>
          </w:p>
        </w:tc>
      </w:tr>
      <w:tr w14:paraId="1CBBA0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3E8E935E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项目类型</w:t>
            </w:r>
          </w:p>
        </w:tc>
        <w:tc>
          <w:tcPr>
            <w:tcW w:w="4156" w:type="dxa"/>
            <w:vAlign w:val="center"/>
          </w:tcPr>
          <w:p w14:paraId="43E1A674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软件项目实训</w:t>
            </w:r>
          </w:p>
        </w:tc>
      </w:tr>
      <w:tr w14:paraId="17152F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79471EBF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开发周期</w:t>
            </w:r>
          </w:p>
        </w:tc>
        <w:tc>
          <w:tcPr>
            <w:tcW w:w="4156" w:type="dxa"/>
            <w:vAlign w:val="center"/>
          </w:tcPr>
          <w:p w14:paraId="7A35DB85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2 周</w:t>
            </w:r>
          </w:p>
        </w:tc>
      </w:tr>
      <w:tr w14:paraId="33435D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2D1F914A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项目简介</w:t>
            </w:r>
          </w:p>
        </w:tc>
        <w:tc>
          <w:tcPr>
            <w:tcW w:w="4156" w:type="dxa"/>
            <w:vAlign w:val="center"/>
          </w:tcPr>
          <w:p w14:paraId="64E8CD0F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构建一个面向 AI Agent 安全评估的自动化红蓝对抗演练平台，通过红队模拟攻击、蓝队部署防御、目标智能体执行和评估报告生成四位一体的闭环流程，为 AI Agent 安全评估提供自动化、可量化的对抗演练工具</w:t>
            </w:r>
          </w:p>
        </w:tc>
      </w:tr>
    </w:tbl>
    <w:p w14:paraId="1C1386E7">
      <w:pPr>
        <w:spacing w:before="0" w:after="80" w:line="240" w:lineRule="auto"/>
      </w:pPr>
    </w:p>
    <w:p w14:paraId="21FC03B1">
      <w:pPr>
        <w:spacing w:before="280" w:after="160" w:line="360" w:lineRule="auto"/>
      </w:pPr>
      <w:r>
        <w:rPr>
          <w:rFonts w:ascii="黑体" w:hAnsi="黑体" w:eastAsia="黑体"/>
          <w:b/>
          <w:i w:val="0"/>
          <w:color w:val="000000"/>
          <w:sz w:val="30"/>
        </w:rPr>
        <w:t>二、项目目标</w:t>
      </w:r>
    </w:p>
    <w:p w14:paraId="5B0D2C24">
      <w:pPr>
        <w:spacing w:before="0" w:after="80" w:line="360" w:lineRule="auto"/>
        <w:ind w:left="420"/>
      </w:pPr>
      <w:r>
        <w:rPr>
          <w:rFonts w:ascii="宋体" w:hAnsi="宋体" w:eastAsia="宋体"/>
          <w:b w:val="0"/>
          <w:i w:val="0"/>
          <w:color w:val="000000"/>
          <w:sz w:val="22"/>
        </w:rPr>
        <w:t>1. 实现红队攻击模拟功能，支持 RedBench 数据集加载和 LLM 自动生成攻击提示词，支持 5 种变异策略的自动进化。</w:t>
      </w:r>
    </w:p>
    <w:p w14:paraId="5C8CB07D">
      <w:pPr>
        <w:spacing w:before="0" w:after="80" w:line="360" w:lineRule="auto"/>
        <w:ind w:left="420"/>
      </w:pPr>
      <w:r>
        <w:rPr>
          <w:rFonts w:ascii="宋体" w:hAnsi="宋体" w:eastAsia="宋体"/>
          <w:b w:val="0"/>
          <w:i w:val="0"/>
          <w:color w:val="000000"/>
          <w:sz w:val="22"/>
        </w:rPr>
        <w:t>2. 实现蓝队防御检测功能，构建输入检测、工具审计、输出检测三道防线，采用规则引擎与 LLM 模型双通道并发检测。</w:t>
      </w:r>
    </w:p>
    <w:p w14:paraId="1CC9BB9C">
      <w:pPr>
        <w:spacing w:before="0" w:after="80" w:line="360" w:lineRule="auto"/>
        <w:ind w:left="420"/>
      </w:pPr>
      <w:r>
        <w:rPr>
          <w:rFonts w:ascii="宋体" w:hAnsi="宋体" w:eastAsia="宋体"/>
          <w:b w:val="0"/>
          <w:i w:val="0"/>
          <w:color w:val="000000"/>
          <w:sz w:val="22"/>
        </w:rPr>
        <w:t>3. 实现目标智能体模拟功能，支持金融智能体和客服智能体两种场景，在沙箱环境中执行工具调用。</w:t>
      </w:r>
    </w:p>
    <w:p w14:paraId="73BF38D8">
      <w:pPr>
        <w:spacing w:before="0" w:after="80" w:line="360" w:lineRule="auto"/>
        <w:ind w:left="420"/>
      </w:pPr>
      <w:r>
        <w:rPr>
          <w:rFonts w:ascii="宋体" w:hAnsi="宋体" w:eastAsia="宋体"/>
          <w:b w:val="0"/>
          <w:i w:val="0"/>
          <w:color w:val="000000"/>
          <w:sz w:val="22"/>
        </w:rPr>
        <w:t>4. 实现评估报告自动生成功能，计算 6 项核心安全指标，与 RedBench 基准数据对比，生成修复建议。</w:t>
      </w:r>
    </w:p>
    <w:p w14:paraId="0FBF2E56">
      <w:pPr>
        <w:spacing w:before="0" w:after="80" w:line="360" w:lineRule="auto"/>
        <w:ind w:left="420"/>
      </w:pPr>
      <w:r>
        <w:rPr>
          <w:rFonts w:ascii="宋体" w:hAnsi="宋体" w:eastAsia="宋体"/>
          <w:b w:val="0"/>
          <w:i w:val="0"/>
          <w:color w:val="000000"/>
          <w:sz w:val="22"/>
        </w:rPr>
        <w:t>5. 实现 Web 前端可视化界面，通过 WebSocket 实时推送任务执行进度，提供态势流程图、数据对比、安全洞察和审计事件展示。</w:t>
      </w:r>
    </w:p>
    <w:p w14:paraId="2BA9E256">
      <w:pPr>
        <w:spacing w:before="0" w:after="80" w:line="360" w:lineRule="auto"/>
        <w:ind w:left="420"/>
      </w:pPr>
      <w:r>
        <w:rPr>
          <w:rFonts w:ascii="宋体" w:hAnsi="宋体" w:eastAsia="宋体"/>
          <w:b w:val="0"/>
          <w:i w:val="0"/>
          <w:color w:val="000000"/>
          <w:sz w:val="22"/>
        </w:rPr>
        <w:t>6. 构建完整的红蓝对抗闭环流程，实现"攻击→检测→进化→再攻击"的持续对抗循环。</w:t>
      </w:r>
    </w:p>
    <w:p w14:paraId="32E38594">
      <w:pPr>
        <w:spacing w:before="280" w:after="160" w:line="360" w:lineRule="auto"/>
        <w:rPr>
          <w:rFonts w:ascii="黑体" w:hAnsi="黑体" w:eastAsia="黑体"/>
          <w:b/>
          <w:i w:val="0"/>
          <w:color w:val="000000"/>
          <w:sz w:val="30"/>
        </w:rPr>
      </w:pPr>
    </w:p>
    <w:p w14:paraId="5CC41394">
      <w:pPr>
        <w:spacing w:before="280" w:after="160" w:line="360" w:lineRule="auto"/>
      </w:pPr>
      <w:r>
        <w:rPr>
          <w:rFonts w:ascii="黑体" w:hAnsi="黑体" w:eastAsia="黑体"/>
          <w:b/>
          <w:i w:val="0"/>
          <w:color w:val="000000"/>
          <w:sz w:val="30"/>
        </w:rPr>
        <w:t>三、小组分工</w:t>
      </w:r>
    </w:p>
    <w:p w14:paraId="0A154809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color w:val="000000"/>
          <w:sz w:val="22"/>
        </w:rPr>
        <w:t>小组成员共 3 人，分工如下：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86B7D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D9E2F3"/>
            <w:vAlign w:val="center"/>
          </w:tcPr>
          <w:p w14:paraId="4B6ADA45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角色</w:t>
            </w:r>
          </w:p>
        </w:tc>
        <w:tc>
          <w:tcPr>
            <w:tcW w:w="2078" w:type="dxa"/>
            <w:shd w:val="clear" w:color="auto" w:fill="D9E2F3"/>
            <w:vAlign w:val="center"/>
          </w:tcPr>
          <w:p w14:paraId="357707A0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姓名</w:t>
            </w:r>
          </w:p>
        </w:tc>
        <w:tc>
          <w:tcPr>
            <w:tcW w:w="2078" w:type="dxa"/>
            <w:shd w:val="clear" w:color="auto" w:fill="D9E2F3"/>
            <w:vAlign w:val="center"/>
          </w:tcPr>
          <w:p w14:paraId="1B4233DD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职责领域</w:t>
            </w:r>
          </w:p>
        </w:tc>
        <w:tc>
          <w:tcPr>
            <w:tcW w:w="2078" w:type="dxa"/>
            <w:shd w:val="clear" w:color="auto" w:fill="D9E2F3"/>
            <w:vAlign w:val="center"/>
          </w:tcPr>
          <w:p w14:paraId="7CB49E0D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具体工作内容</w:t>
            </w:r>
          </w:p>
        </w:tc>
      </w:tr>
      <w:tr w14:paraId="4F5EE1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60419967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组长</w:t>
            </w:r>
          </w:p>
        </w:tc>
        <w:tc>
          <w:tcPr>
            <w:tcW w:w="2078" w:type="dxa"/>
            <w:vAlign w:val="center"/>
          </w:tcPr>
          <w:p w14:paraId="4C0E1C0D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刘颖良</w:t>
            </w:r>
          </w:p>
        </w:tc>
        <w:tc>
          <w:tcPr>
            <w:tcW w:w="2078" w:type="dxa"/>
            <w:vAlign w:val="center"/>
          </w:tcPr>
          <w:p w14:paraId="72B048EA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架构设计、需求落实、前端开发、模型部署</w:t>
            </w:r>
          </w:p>
        </w:tc>
        <w:tc>
          <w:tcPr>
            <w:tcW w:w="2078" w:type="dxa"/>
            <w:vAlign w:val="center"/>
          </w:tcPr>
          <w:p w14:paraId="4795D9EE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见下方详细说明</w:t>
            </w:r>
          </w:p>
        </w:tc>
      </w:tr>
      <w:tr w14:paraId="619818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2CDACAA6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组员一</w:t>
            </w:r>
          </w:p>
        </w:tc>
        <w:tc>
          <w:tcPr>
            <w:tcW w:w="2078" w:type="dxa"/>
            <w:vAlign w:val="center"/>
          </w:tcPr>
          <w:p w14:paraId="3E837313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柯涵</w:t>
            </w:r>
          </w:p>
        </w:tc>
        <w:tc>
          <w:tcPr>
            <w:tcW w:w="2078" w:type="dxa"/>
            <w:vAlign w:val="center"/>
          </w:tcPr>
          <w:p w14:paraId="1B59536F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红方核心功能开发</w:t>
            </w:r>
          </w:p>
        </w:tc>
        <w:tc>
          <w:tcPr>
            <w:tcW w:w="2078" w:type="dxa"/>
            <w:vAlign w:val="center"/>
          </w:tcPr>
          <w:p w14:paraId="4E6D8F99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见下方详细说明</w:t>
            </w:r>
          </w:p>
        </w:tc>
      </w:tr>
      <w:tr w14:paraId="7FACFD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28DD9E22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组员二</w:t>
            </w:r>
          </w:p>
        </w:tc>
        <w:tc>
          <w:tcPr>
            <w:tcW w:w="2078" w:type="dxa"/>
            <w:vAlign w:val="center"/>
          </w:tcPr>
          <w:p w14:paraId="5FE536FC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郑伟业</w:t>
            </w:r>
          </w:p>
        </w:tc>
        <w:tc>
          <w:tcPr>
            <w:tcW w:w="2078" w:type="dxa"/>
            <w:vAlign w:val="center"/>
          </w:tcPr>
          <w:p w14:paraId="7137F165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蓝方核心功能开发</w:t>
            </w:r>
          </w:p>
        </w:tc>
        <w:tc>
          <w:tcPr>
            <w:tcW w:w="2078" w:type="dxa"/>
            <w:vAlign w:val="center"/>
          </w:tcPr>
          <w:p w14:paraId="28281975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见下方详细说明</w:t>
            </w:r>
          </w:p>
        </w:tc>
      </w:tr>
    </w:tbl>
    <w:p w14:paraId="6B6B5049">
      <w:pPr>
        <w:spacing w:before="0" w:after="80" w:line="240" w:lineRule="auto"/>
      </w:pPr>
    </w:p>
    <w:p w14:paraId="375F8F41">
      <w:pPr>
        <w:spacing w:before="200" w:after="120" w:line="360" w:lineRule="auto"/>
      </w:pPr>
      <w:r>
        <w:rPr>
          <w:rFonts w:ascii="黑体" w:hAnsi="黑体" w:eastAsia="黑体"/>
          <w:b/>
          <w:i w:val="0"/>
          <w:color w:val="000000"/>
          <w:sz w:val="26"/>
        </w:rPr>
        <w:t>3.1 组长职责</w:t>
      </w:r>
    </w:p>
    <w:p w14:paraId="5C9C3986">
      <w:pPr>
        <w:spacing w:before="120" w:after="60" w:line="360" w:lineRule="auto"/>
      </w:pPr>
      <w:r>
        <w:rPr>
          <w:rFonts w:ascii="黑体" w:hAnsi="黑体" w:eastAsia="黑体"/>
          <w:b/>
          <w:i w:val="0"/>
          <w:color w:val="000000"/>
          <w:sz w:val="23"/>
        </w:rPr>
        <w:t>（1）需求分析与方案落实</w:t>
      </w:r>
    </w:p>
    <w:p w14:paraId="7A5137EF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color w:val="000000"/>
          <w:sz w:val="22"/>
        </w:rPr>
        <w:t>与组员讨论后对程序需求进行总结优化，明确平台的四个核心角色（红队、蓝队、目标、评估）和对抗流程，思考如何将需求落实到程序中。确定了以 LangGraph 状态图编排为主流程控制方案，以双总线事件驱动架构实现模块解耦的方案。</w:t>
      </w:r>
    </w:p>
    <w:p w14:paraId="61E9CE12">
      <w:pPr>
        <w:spacing w:before="120" w:after="60" w:line="360" w:lineRule="auto"/>
      </w:pPr>
      <w:r>
        <w:rPr>
          <w:rFonts w:ascii="黑体" w:hAnsi="黑体" w:eastAsia="黑体"/>
          <w:b/>
          <w:i w:val="0"/>
          <w:color w:val="000000"/>
          <w:sz w:val="23"/>
        </w:rPr>
        <w:t>（2）系统架构设计</w:t>
      </w:r>
    </w:p>
    <w:p w14:paraId="1A9E3322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color w:val="000000"/>
          <w:sz w:val="22"/>
        </w:rPr>
        <w:t>对整个程序进行总体架构设计，将系统划分为 9 个独立模块：API 接入层、编排层、红队模块、蓝队模块、目标系统模块、评估模块、事件总线模块、持久化模块、LLM 调用模块。设计各模块之间的接口契约和数据依赖关系，确保模块间高内聚低耦合。</w:t>
      </w:r>
    </w:p>
    <w:p w14:paraId="7B480625">
      <w:pPr>
        <w:spacing w:before="120" w:after="60" w:line="360" w:lineRule="auto"/>
      </w:pPr>
      <w:r>
        <w:rPr>
          <w:rFonts w:ascii="黑体" w:hAnsi="黑体" w:eastAsia="黑体"/>
          <w:b/>
          <w:i w:val="0"/>
          <w:color w:val="000000"/>
          <w:sz w:val="23"/>
        </w:rPr>
        <w:t>（3）数据流向设计</w:t>
      </w:r>
    </w:p>
    <w:p w14:paraId="6F97D24A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color w:val="000000"/>
          <w:sz w:val="22"/>
        </w:rPr>
        <w:t>设计程序各部分的数据流向，包括任务创建到启动的完整生命周期、LangGraph 三节点编排流程（攻击链规划 → 防御分发 → 评估流）、单次攻击执行的六阶段数据流、WebSocket 实时推送的版本比对机制、前后端数据交互的完整链路。</w:t>
      </w:r>
    </w:p>
    <w:p w14:paraId="3C3A022F">
      <w:pPr>
        <w:spacing w:before="120" w:after="60" w:line="360" w:lineRule="auto"/>
      </w:pPr>
      <w:r>
        <w:rPr>
          <w:rFonts w:ascii="黑体" w:hAnsi="黑体" w:eastAsia="黑体"/>
          <w:b/>
          <w:i w:val="0"/>
          <w:color w:val="000000"/>
          <w:sz w:val="23"/>
        </w:rPr>
        <w:t>（4）优化整体运行性能</w:t>
      </w:r>
    </w:p>
    <w:p w14:paraId="2C96CEBD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color w:val="000000"/>
          <w:sz w:val="22"/>
        </w:rPr>
        <w:t>优化程序整体运行效率，包括蓝队双通道并发检测（规则引擎与 LLM 模型并行执行）、红队异步变异（线程池异步执行，不阻塞主流程）、WebSocket 版本比对（仅在数据变化时推送，减少无效传输）。</w:t>
      </w:r>
    </w:p>
    <w:p w14:paraId="7AA51563">
      <w:pPr>
        <w:spacing w:before="120" w:after="60" w:line="360" w:lineRule="auto"/>
      </w:pPr>
      <w:r>
        <w:rPr>
          <w:rFonts w:ascii="黑体" w:hAnsi="黑体" w:eastAsia="黑体"/>
          <w:b/>
          <w:i w:val="0"/>
          <w:color w:val="000000"/>
          <w:sz w:val="23"/>
        </w:rPr>
        <w:t>（5）构建完整程序运行链路</w:t>
      </w:r>
    </w:p>
    <w:p w14:paraId="22FEA277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color w:val="000000"/>
          <w:sz w:val="22"/>
        </w:rPr>
        <w:t>构建红蓝对抗的完整流程链路，确保从任务创</w:t>
      </w:r>
      <w:bookmarkStart w:id="0" w:name="_GoBack"/>
      <w:bookmarkEnd w:id="0"/>
      <w:r>
        <w:rPr>
          <w:rFonts w:ascii="宋体" w:hAnsi="宋体" w:eastAsia="宋体"/>
          <w:b w:val="0"/>
          <w:i w:val="0"/>
          <w:color w:val="000000"/>
          <w:sz w:val="22"/>
        </w:rPr>
        <w:t>建、攻击生成、防御检测、目标执行、沙箱运行、自动进化到评估报告生成的全流程畅通。协调红方和蓝方模块的接口对接，解决红队自动进化失败、模型无法生成恶意攻击提示词、任务进度实时化展示等关键问题。</w:t>
      </w:r>
    </w:p>
    <w:p w14:paraId="20CAA7F9">
      <w:pPr>
        <w:spacing w:before="120" w:after="60" w:line="360" w:lineRule="auto"/>
      </w:pPr>
      <w:r>
        <w:rPr>
          <w:rFonts w:ascii="黑体" w:hAnsi="黑体" w:eastAsia="黑体"/>
          <w:b/>
          <w:i w:val="0"/>
          <w:color w:val="000000"/>
          <w:sz w:val="23"/>
        </w:rPr>
        <w:t>（6）前端页面开发</w:t>
      </w:r>
    </w:p>
    <w:p w14:paraId="389F116D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color w:val="000000"/>
          <w:sz w:val="22"/>
        </w:rPr>
        <w:t>开发 Web 前端界面，包括 6 个核心组件的设计与实现：任务侧边栏（任务创建、切换、列表管理）、任务状态头部（状态展示、进度追踪）、对抗态势流程图（六阶段可视化流程）、数据对比面板（三方输出对比、变异任务轮播）、安全洞察图表（ECharts 图表与核心指标卡片）、审计事件时间线（Fast Path 和 Slow Path 事件展示）。实现 Pinia 状态管理、WebSocket 实时推送与断线自动重连。</w:t>
      </w:r>
    </w:p>
    <w:p w14:paraId="74C8518E">
      <w:pPr>
        <w:spacing w:before="120" w:after="60" w:line="360" w:lineRule="auto"/>
      </w:pPr>
      <w:r>
        <w:rPr>
          <w:rFonts w:ascii="黑体" w:hAnsi="黑体" w:eastAsia="黑体"/>
          <w:b/>
          <w:i w:val="0"/>
          <w:color w:val="000000"/>
          <w:sz w:val="23"/>
        </w:rPr>
        <w:t>（7）模型部署与配置</w:t>
      </w:r>
    </w:p>
    <w:p w14:paraId="5CFC9954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color w:val="000000"/>
          <w:sz w:val="22"/>
        </w:rPr>
        <w:t>落实 Ollama 本地模型的部署和配置，包括红队模型（dolphin-mistral）、蓝队模型（gemma2:2b）、目标模型（qwen3:1.7b）的拉取和测试。完成 DeepSeek 外部评估 API 的集成配置。编写 YAML 策略配置文件（蓝队检测策略、目标智能体配置）。</w:t>
      </w:r>
    </w:p>
    <w:p w14:paraId="39A525F3">
      <w:pPr>
        <w:spacing w:before="200" w:after="120" w:line="360" w:lineRule="auto"/>
      </w:pPr>
      <w:r>
        <w:rPr>
          <w:rFonts w:ascii="黑体" w:hAnsi="黑体" w:eastAsia="黑体"/>
          <w:b/>
          <w:i w:val="0"/>
          <w:color w:val="000000"/>
          <w:sz w:val="26"/>
        </w:rPr>
        <w:t>3.2 组员一职责 — 红方核心功能开发</w:t>
      </w:r>
    </w:p>
    <w:p w14:paraId="243CE9CA">
      <w:pPr>
        <w:spacing w:before="120" w:after="60" w:line="360" w:lineRule="auto"/>
      </w:pPr>
      <w:r>
        <w:rPr>
          <w:rFonts w:ascii="黑体" w:hAnsi="黑体" w:eastAsia="黑体"/>
          <w:b/>
          <w:i w:val="0"/>
          <w:color w:val="000000"/>
          <w:sz w:val="23"/>
        </w:rPr>
        <w:t>（1）红队攻击生成模块</w:t>
      </w:r>
    </w:p>
    <w:p w14:paraId="29B9B4D8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color w:val="000000"/>
          <w:sz w:val="22"/>
        </w:rPr>
        <w:t>开发红队指挥官模块，实现攻击链规划功能。优先从 RedBench 数据集（20 余个子数据集）加载攻击样本，通过 Parquet 格式解析并转换为标准攻击用例。当数据集样本不足时，调用 LLM 模型补充生成攻击提示词。实现攻击用例的属性管理，包括风险类型、攻击技能、严重程度、预期违规等字段。</w:t>
      </w:r>
    </w:p>
    <w:p w14:paraId="1FF94208">
      <w:pPr>
        <w:spacing w:before="120" w:after="60" w:line="360" w:lineRule="auto"/>
      </w:pPr>
      <w:r>
        <w:rPr>
          <w:rFonts w:ascii="黑体" w:hAnsi="黑体" w:eastAsia="黑体"/>
          <w:b/>
          <w:i w:val="0"/>
          <w:color w:val="000000"/>
          <w:sz w:val="23"/>
        </w:rPr>
        <w:t>（2）攻击执行器</w:t>
      </w:r>
    </w:p>
    <w:p w14:paraId="2B9EEA48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color w:val="000000"/>
          <w:sz w:val="22"/>
        </w:rPr>
        <w:t>开发攻击执行器模块，实现攻击请求的构建和发送功能。将攻击用例转化为标准化的攻击请求格式，包含用户提示词、系统提示词、消息历史和上下文信息。</w:t>
      </w:r>
    </w:p>
    <w:p w14:paraId="627D67D3">
      <w:pPr>
        <w:spacing w:before="120" w:after="60" w:line="360" w:lineRule="auto"/>
      </w:pPr>
      <w:r>
        <w:rPr>
          <w:rFonts w:ascii="黑体" w:hAnsi="黑体" w:eastAsia="黑体"/>
          <w:b/>
          <w:i w:val="0"/>
          <w:color w:val="000000"/>
          <w:sz w:val="23"/>
        </w:rPr>
        <w:t>（3）自动进化模块</w:t>
      </w:r>
    </w:p>
    <w:p w14:paraId="2D51CA32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color w:val="000000"/>
          <w:sz w:val="22"/>
        </w:rPr>
        <w:t>开发红队自动进化功能，实现 5 种变异策略（语义重写、角色上下文转换、低风险工具序列、多轮迂回、目标分解）。根据蓝队检测结果和失败阶段自动选择变异策略，调用 LLM 模型对攻击 Payload 进行变异重写。实现变异 Payload 的多层容错解析（JSON 解析 → 字典字段提取 → Markdown 剥离）。使用线程池异步执行变异任务，不阻塞主攻防流程。实现变异任务的创建、执行和结果管理。</w:t>
      </w:r>
    </w:p>
    <w:p w14:paraId="5CE937AC">
      <w:pPr>
        <w:spacing w:before="120" w:after="60" w:line="360" w:lineRule="auto"/>
      </w:pPr>
      <w:r>
        <w:rPr>
          <w:rFonts w:ascii="黑体" w:hAnsi="黑体" w:eastAsia="黑体"/>
          <w:b/>
          <w:i w:val="0"/>
          <w:color w:val="000000"/>
          <w:sz w:val="23"/>
        </w:rPr>
        <w:t>（4）攻击模板库</w:t>
      </w:r>
    </w:p>
    <w:p w14:paraId="366E1CF1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color w:val="000000"/>
          <w:sz w:val="22"/>
        </w:rPr>
        <w:t>构建攻击模板库，定义 7 类风险类型（ASI01 至 ASI07）的攻击模板，包括直接越权、角色冒充、工具滥用链、审批绕过、数据窃取、多轮间接攻击、低风险工具链等。</w:t>
      </w:r>
    </w:p>
    <w:p w14:paraId="0DF4E49E">
      <w:pPr>
        <w:spacing w:before="200" w:after="120" w:line="360" w:lineRule="auto"/>
      </w:pPr>
      <w:r>
        <w:rPr>
          <w:rFonts w:ascii="黑体" w:hAnsi="黑体" w:eastAsia="黑体"/>
          <w:b/>
          <w:i w:val="0"/>
          <w:color w:val="000000"/>
          <w:sz w:val="26"/>
        </w:rPr>
        <w:t>3.3 组员二职责 — 蓝方核心功能开发</w:t>
      </w:r>
    </w:p>
    <w:p w14:paraId="30D8AA45">
      <w:pPr>
        <w:spacing w:before="120" w:after="60" w:line="360" w:lineRule="auto"/>
      </w:pPr>
      <w:r>
        <w:rPr>
          <w:rFonts w:ascii="黑体" w:hAnsi="黑体" w:eastAsia="黑体"/>
          <w:b/>
          <w:i w:val="0"/>
          <w:color w:val="000000"/>
          <w:sz w:val="23"/>
        </w:rPr>
        <w:t>（1）输入检测模块</w:t>
      </w:r>
    </w:p>
    <w:p w14:paraId="4B062043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color w:val="000000"/>
          <w:sz w:val="22"/>
        </w:rPr>
        <w:t>开发蓝队输入检测器，对红队发送的攻击提示词进行第一道防线检测。实现规则引擎和 LLM 模型两个检测通道，并发执行后合并结果。规则引擎基于 YAML 策略配置文件的关键词匹配和模式识别，LLM 模型通道通过语义理解检测恶意意图。实现输入检测的阻断、降级和放行三种动作。</w:t>
      </w:r>
    </w:p>
    <w:p w14:paraId="68B2B73B">
      <w:pPr>
        <w:spacing w:before="120" w:after="60" w:line="360" w:lineRule="auto"/>
      </w:pPr>
      <w:r>
        <w:rPr>
          <w:rFonts w:ascii="黑体" w:hAnsi="黑体" w:eastAsia="黑体"/>
          <w:b/>
          <w:i w:val="0"/>
          <w:color w:val="000000"/>
          <w:sz w:val="23"/>
        </w:rPr>
        <w:t>（2）工具审计模块</w:t>
      </w:r>
    </w:p>
    <w:p w14:paraId="6DA7DAF6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color w:val="000000"/>
          <w:sz w:val="22"/>
        </w:rPr>
        <w:t>开发蓝队工具审计器，对目标智能体发出的工具调用进行第二道防线检测。实现工具名称黑白名单、参数敏感字段检查、角色权限校验等多层审计规则。实现工具调用的阻断、降级和放行三种动作。降级时对敏感参数进行脱敏处理。</w:t>
      </w:r>
    </w:p>
    <w:p w14:paraId="3E498CB5">
      <w:pPr>
        <w:spacing w:before="120" w:after="60" w:line="360" w:lineRule="auto"/>
      </w:pPr>
      <w:r>
        <w:rPr>
          <w:rFonts w:ascii="黑体" w:hAnsi="黑体" w:eastAsia="黑体"/>
          <w:b/>
          <w:i w:val="0"/>
          <w:color w:val="000000"/>
          <w:sz w:val="23"/>
        </w:rPr>
        <w:t>（3）输出检测模块</w:t>
      </w:r>
    </w:p>
    <w:p w14:paraId="1AA17C0A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color w:val="000000"/>
          <w:sz w:val="22"/>
        </w:rPr>
        <w:t>开发蓝队输出检测器，对目标智能体的执行结果进行第三道防线检测。检测输出内容中是否包含敏感数据泄露、越权操作结果等风险。同样采用规则引擎和 LLM 模型双通道并发检测。</w:t>
      </w:r>
    </w:p>
    <w:p w14:paraId="6622F33F">
      <w:pPr>
        <w:spacing w:before="120" w:after="60" w:line="360" w:lineRule="auto"/>
      </w:pPr>
      <w:r>
        <w:rPr>
          <w:rFonts w:ascii="黑体" w:hAnsi="黑体" w:eastAsia="黑体"/>
          <w:b/>
          <w:i w:val="0"/>
          <w:color w:val="000000"/>
          <w:sz w:val="23"/>
        </w:rPr>
        <w:t>（4）检测策略配置</w:t>
      </w:r>
    </w:p>
    <w:p w14:paraId="2EBC6CFD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i w:val="0"/>
          <w:color w:val="000000"/>
          <w:sz w:val="22"/>
        </w:rPr>
        <w:t>编写蓝队检测策略 YAML 配置文件，定义输入检测规则、工具审计规则和输出检测规则。配置关键词库、敏感字段列表、角色权限映射等策略内容。</w:t>
      </w:r>
    </w:p>
    <w:p w14:paraId="64E215B0">
      <w:pPr>
        <w:spacing w:before="280" w:after="160" w:line="360" w:lineRule="auto"/>
      </w:pPr>
      <w:r>
        <w:rPr>
          <w:rFonts w:ascii="黑体" w:hAnsi="黑体" w:eastAsia="黑体"/>
          <w:b/>
          <w:i w:val="0"/>
          <w:color w:val="000000"/>
          <w:sz w:val="30"/>
        </w:rPr>
        <w:t>四、项目进度安排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3D014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078" w:type="dxa"/>
            <w:shd w:val="clear" w:color="auto" w:fill="D9E2F3"/>
            <w:vAlign w:val="center"/>
          </w:tcPr>
          <w:p w14:paraId="204C9198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阶段</w:t>
            </w:r>
          </w:p>
        </w:tc>
        <w:tc>
          <w:tcPr>
            <w:tcW w:w="2078" w:type="dxa"/>
            <w:shd w:val="clear" w:color="auto" w:fill="D9E2F3"/>
            <w:vAlign w:val="center"/>
          </w:tcPr>
          <w:p w14:paraId="5D1E232E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时间</w:t>
            </w:r>
          </w:p>
        </w:tc>
        <w:tc>
          <w:tcPr>
            <w:tcW w:w="2078" w:type="dxa"/>
            <w:shd w:val="clear" w:color="auto" w:fill="D9E2F3"/>
            <w:vAlign w:val="center"/>
          </w:tcPr>
          <w:p w14:paraId="465A2A27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负责人</w:t>
            </w:r>
          </w:p>
        </w:tc>
        <w:tc>
          <w:tcPr>
            <w:tcW w:w="2078" w:type="dxa"/>
            <w:shd w:val="clear" w:color="auto" w:fill="D9E2F3"/>
            <w:vAlign w:val="center"/>
          </w:tcPr>
          <w:p w14:paraId="0E752236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里程碑</w:t>
            </w:r>
          </w:p>
        </w:tc>
      </w:tr>
      <w:tr w14:paraId="5E136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2186E538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需求分析与架构设计</w:t>
            </w:r>
          </w:p>
        </w:tc>
        <w:tc>
          <w:tcPr>
            <w:tcW w:w="2078" w:type="dxa"/>
            <w:vAlign w:val="center"/>
          </w:tcPr>
          <w:p w14:paraId="4AF4EFE7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第 1-2 天</w:t>
            </w:r>
          </w:p>
        </w:tc>
        <w:tc>
          <w:tcPr>
            <w:tcW w:w="2078" w:type="dxa"/>
            <w:vAlign w:val="center"/>
          </w:tcPr>
          <w:p w14:paraId="77F16A6A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组长</w:t>
            </w:r>
          </w:p>
        </w:tc>
        <w:tc>
          <w:tcPr>
            <w:tcW w:w="2078" w:type="dxa"/>
            <w:vAlign w:val="center"/>
          </w:tcPr>
          <w:p w14:paraId="253E16C5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确定四阶段对抗流程、双总线架构、9 模块分层、LangGraph 编排方案</w:t>
            </w:r>
          </w:p>
        </w:tc>
      </w:tr>
      <w:tr w14:paraId="25E53E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EAC59AF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后端核心开发</w:t>
            </w:r>
          </w:p>
        </w:tc>
        <w:tc>
          <w:tcPr>
            <w:tcW w:w="2078" w:type="dxa"/>
            <w:vAlign w:val="center"/>
          </w:tcPr>
          <w:p w14:paraId="46713538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第 3-7 天</w:t>
            </w:r>
          </w:p>
        </w:tc>
        <w:tc>
          <w:tcPr>
            <w:tcW w:w="2078" w:type="dxa"/>
            <w:vAlign w:val="center"/>
          </w:tcPr>
          <w:p w14:paraId="6AFDD414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全体</w:t>
            </w:r>
          </w:p>
        </w:tc>
        <w:tc>
          <w:tcPr>
            <w:tcW w:w="2078" w:type="dxa"/>
            <w:vAlign w:val="center"/>
          </w:tcPr>
          <w:p w14:paraId="190F765E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编排层、红队、蓝队、目标系统、评估、事件总线、数据库全部完成</w:t>
            </w:r>
          </w:p>
        </w:tc>
      </w:tr>
      <w:tr w14:paraId="7ECD32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208119EA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前端开发与集成</w:t>
            </w:r>
          </w:p>
        </w:tc>
        <w:tc>
          <w:tcPr>
            <w:tcW w:w="2078" w:type="dxa"/>
            <w:vAlign w:val="center"/>
          </w:tcPr>
          <w:p w14:paraId="17E1C8CD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第 8-11 天</w:t>
            </w:r>
          </w:p>
        </w:tc>
        <w:tc>
          <w:tcPr>
            <w:tcW w:w="2078" w:type="dxa"/>
            <w:vAlign w:val="center"/>
          </w:tcPr>
          <w:p w14:paraId="52B30796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组长</w:t>
            </w:r>
          </w:p>
        </w:tc>
        <w:tc>
          <w:tcPr>
            <w:tcW w:w="2078" w:type="dxa"/>
            <w:vAlign w:val="center"/>
          </w:tcPr>
          <w:p w14:paraId="0CE596D3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6 个核心组件完成，WebSocket 实时推送与断线重连</w:t>
            </w:r>
          </w:p>
        </w:tc>
      </w:tr>
      <w:tr w14:paraId="21D167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4936BFF0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联调测试与优化</w:t>
            </w:r>
          </w:p>
        </w:tc>
        <w:tc>
          <w:tcPr>
            <w:tcW w:w="2078" w:type="dxa"/>
            <w:vAlign w:val="center"/>
          </w:tcPr>
          <w:p w14:paraId="17E5CDE9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第 12-13 天</w:t>
            </w:r>
          </w:p>
        </w:tc>
        <w:tc>
          <w:tcPr>
            <w:tcW w:w="2078" w:type="dxa"/>
            <w:vAlign w:val="center"/>
          </w:tcPr>
          <w:p w14:paraId="03AAA656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全体</w:t>
            </w:r>
          </w:p>
        </w:tc>
        <w:tc>
          <w:tcPr>
            <w:tcW w:w="2078" w:type="dxa"/>
            <w:vAlign w:val="center"/>
          </w:tcPr>
          <w:p w14:paraId="1B47A2D8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解决关键问题，性能优化</w:t>
            </w:r>
          </w:p>
        </w:tc>
      </w:tr>
      <w:tr w14:paraId="462F3D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60C79A01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文档编写</w:t>
            </w:r>
          </w:p>
        </w:tc>
        <w:tc>
          <w:tcPr>
            <w:tcW w:w="2078" w:type="dxa"/>
            <w:vAlign w:val="center"/>
          </w:tcPr>
          <w:p w14:paraId="0F01CE23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第 14 天</w:t>
            </w:r>
          </w:p>
        </w:tc>
        <w:tc>
          <w:tcPr>
            <w:tcW w:w="2078" w:type="dxa"/>
            <w:vAlign w:val="center"/>
          </w:tcPr>
          <w:p w14:paraId="24255C94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组长</w:t>
            </w:r>
          </w:p>
        </w:tc>
        <w:tc>
          <w:tcPr>
            <w:tcW w:w="2078" w:type="dxa"/>
            <w:vAlign w:val="center"/>
          </w:tcPr>
          <w:p w14:paraId="6FCE80DB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全套技术文档交付</w:t>
            </w:r>
          </w:p>
        </w:tc>
      </w:tr>
    </w:tbl>
    <w:p w14:paraId="3E359F16">
      <w:pPr>
        <w:spacing w:before="0" w:after="80" w:line="240" w:lineRule="auto"/>
      </w:pPr>
    </w:p>
    <w:p w14:paraId="292B4372">
      <w:pPr>
        <w:spacing w:before="280" w:after="160" w:line="360" w:lineRule="auto"/>
      </w:pPr>
      <w:r>
        <w:rPr>
          <w:rFonts w:ascii="黑体" w:hAnsi="黑体" w:eastAsia="黑体"/>
          <w:b/>
          <w:i w:val="0"/>
          <w:color w:val="000000"/>
          <w:sz w:val="30"/>
        </w:rPr>
        <w:t>五、交付成果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A3C21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D9E2F3"/>
            <w:vAlign w:val="center"/>
          </w:tcPr>
          <w:p w14:paraId="6B305B59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序号</w:t>
            </w:r>
          </w:p>
        </w:tc>
        <w:tc>
          <w:tcPr>
            <w:tcW w:w="2771" w:type="dxa"/>
            <w:shd w:val="clear" w:color="auto" w:fill="D9E2F3"/>
            <w:vAlign w:val="center"/>
          </w:tcPr>
          <w:p w14:paraId="5725BC66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交付物</w:t>
            </w:r>
          </w:p>
        </w:tc>
        <w:tc>
          <w:tcPr>
            <w:tcW w:w="2771" w:type="dxa"/>
            <w:shd w:val="clear" w:color="auto" w:fill="D9E2F3"/>
            <w:vAlign w:val="center"/>
          </w:tcPr>
          <w:p w14:paraId="2AB4DB4C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说明</w:t>
            </w:r>
          </w:p>
        </w:tc>
      </w:tr>
      <w:tr w14:paraId="073DBA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37EAA227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2771" w:type="dxa"/>
            <w:vAlign w:val="center"/>
          </w:tcPr>
          <w:p w14:paraId="27D5BE44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系统源代码</w:t>
            </w:r>
          </w:p>
        </w:tc>
        <w:tc>
          <w:tcPr>
            <w:tcW w:w="2771" w:type="dxa"/>
            <w:vAlign w:val="center"/>
          </w:tcPr>
          <w:p w14:paraId="298A32DE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后端 9 模块 + 前端 6 组件，完整可运行</w:t>
            </w:r>
          </w:p>
        </w:tc>
      </w:tr>
      <w:tr w14:paraId="4D7935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5122409F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2771" w:type="dxa"/>
            <w:vAlign w:val="center"/>
          </w:tcPr>
          <w:p w14:paraId="13A99062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商业计划书</w:t>
            </w:r>
          </w:p>
        </w:tc>
        <w:tc>
          <w:tcPr>
            <w:tcW w:w="2771" w:type="dxa"/>
            <w:vAlign w:val="center"/>
          </w:tcPr>
          <w:p w14:paraId="63FBB919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项目背景、目标、市场分析、技术方案</w:t>
            </w:r>
          </w:p>
        </w:tc>
      </w:tr>
      <w:tr w14:paraId="0A9014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0F3BD65B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2771" w:type="dxa"/>
            <w:vAlign w:val="center"/>
          </w:tcPr>
          <w:p w14:paraId="12DA09E3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需求规格说明书</w:t>
            </w:r>
          </w:p>
        </w:tc>
        <w:tc>
          <w:tcPr>
            <w:tcW w:w="2771" w:type="dxa"/>
            <w:vAlign w:val="center"/>
          </w:tcPr>
          <w:p w14:paraId="373CB363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功能需求、非功能需求、接口定义</w:t>
            </w:r>
          </w:p>
        </w:tc>
      </w:tr>
      <w:tr w14:paraId="07B4D9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795F450F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2771" w:type="dxa"/>
            <w:vAlign w:val="center"/>
          </w:tcPr>
          <w:p w14:paraId="408A2B83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接口设计说明书</w:t>
            </w:r>
          </w:p>
        </w:tc>
        <w:tc>
          <w:tcPr>
            <w:tcW w:w="2771" w:type="dxa"/>
            <w:vAlign w:val="center"/>
          </w:tcPr>
          <w:p w14:paraId="07CC24A6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REST API 7 个端点 + WebSocket 1 个端点 + 内部模块接口</w:t>
            </w:r>
          </w:p>
        </w:tc>
      </w:tr>
      <w:tr w14:paraId="70502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1CF02988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2771" w:type="dxa"/>
            <w:vAlign w:val="center"/>
          </w:tcPr>
          <w:p w14:paraId="3360FA4B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系统设计文档</w:t>
            </w:r>
          </w:p>
        </w:tc>
        <w:tc>
          <w:tcPr>
            <w:tcW w:w="2771" w:type="dxa"/>
            <w:vAlign w:val="center"/>
          </w:tcPr>
          <w:p w14:paraId="39B89FEB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架构设计、双总线、LangGraph 编排、数据流、数据库</w:t>
            </w:r>
          </w:p>
        </w:tc>
      </w:tr>
      <w:tr w14:paraId="0ED47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1B72B6E5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2771" w:type="dxa"/>
            <w:vAlign w:val="center"/>
          </w:tcPr>
          <w:p w14:paraId="749691F3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技术规范文档</w:t>
            </w:r>
          </w:p>
        </w:tc>
        <w:tc>
          <w:tcPr>
            <w:tcW w:w="2771" w:type="dxa"/>
            <w:vAlign w:val="center"/>
          </w:tcPr>
          <w:p w14:paraId="6ABD4920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技术栈、编程规范、代码组织、算法说明</w:t>
            </w:r>
          </w:p>
        </w:tc>
      </w:tr>
      <w:tr w14:paraId="1035A1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773B8958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2771" w:type="dxa"/>
            <w:vAlign w:val="center"/>
          </w:tcPr>
          <w:p w14:paraId="4547FDC3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用户手册</w:t>
            </w:r>
          </w:p>
        </w:tc>
        <w:tc>
          <w:tcPr>
            <w:tcW w:w="2771" w:type="dxa"/>
            <w:vAlign w:val="center"/>
          </w:tcPr>
          <w:p w14:paraId="32327C8A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操作指南、功能详解、常见问题</w:t>
            </w:r>
          </w:p>
        </w:tc>
      </w:tr>
      <w:tr w14:paraId="675A22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151D6B9F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2771" w:type="dxa"/>
            <w:vAlign w:val="center"/>
          </w:tcPr>
          <w:p w14:paraId="15CB8229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测试计划</w:t>
            </w:r>
          </w:p>
        </w:tc>
        <w:tc>
          <w:tcPr>
            <w:tcW w:w="2771" w:type="dxa"/>
            <w:vAlign w:val="center"/>
          </w:tcPr>
          <w:p w14:paraId="3D4A3058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48 个测试用例，覆盖 10 个测试类别</w:t>
            </w:r>
          </w:p>
        </w:tc>
      </w:tr>
      <w:tr w14:paraId="325F29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06E3BB45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2771" w:type="dxa"/>
            <w:vAlign w:val="center"/>
          </w:tcPr>
          <w:p w14:paraId="4AC32F44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测试报告</w:t>
            </w:r>
          </w:p>
        </w:tc>
        <w:tc>
          <w:tcPr>
            <w:tcW w:w="2771" w:type="dxa"/>
            <w:vAlign w:val="center"/>
          </w:tcPr>
          <w:p w14:paraId="15C5C959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测试结果、缺陷汇总、改进建议</w:t>
            </w:r>
          </w:p>
        </w:tc>
      </w:tr>
      <w:tr w14:paraId="0133A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638FA938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w="2771" w:type="dxa"/>
            <w:vAlign w:val="center"/>
          </w:tcPr>
          <w:p w14:paraId="34822310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代码审查报告</w:t>
            </w:r>
          </w:p>
        </w:tc>
        <w:tc>
          <w:tcPr>
            <w:tcW w:w="2771" w:type="dxa"/>
            <w:vAlign w:val="center"/>
          </w:tcPr>
          <w:p w14:paraId="276E51B9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代码质量、架构、安全性、可维护性审查</w:t>
            </w:r>
          </w:p>
        </w:tc>
      </w:tr>
      <w:tr w14:paraId="4BA7EC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4CD1CC48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w="2771" w:type="dxa"/>
            <w:vAlign w:val="center"/>
          </w:tcPr>
          <w:p w14:paraId="3451B969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用户验收测试计划</w:t>
            </w:r>
          </w:p>
        </w:tc>
        <w:tc>
          <w:tcPr>
            <w:tcW w:w="2771" w:type="dxa"/>
            <w:vAlign w:val="center"/>
          </w:tcPr>
          <w:p w14:paraId="2C7D65EF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6 个验收场景，含验收标准</w:t>
            </w:r>
          </w:p>
        </w:tc>
      </w:tr>
      <w:tr w14:paraId="08222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022728A9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w="2771" w:type="dxa"/>
            <w:vAlign w:val="center"/>
          </w:tcPr>
          <w:p w14:paraId="76847CD7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用户验收测试报告</w:t>
            </w:r>
          </w:p>
        </w:tc>
        <w:tc>
          <w:tcPr>
            <w:tcW w:w="2771" w:type="dxa"/>
            <w:vAlign w:val="center"/>
          </w:tcPr>
          <w:p w14:paraId="1AA5821D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验收结论、场景结果、遗留问题</w:t>
            </w:r>
          </w:p>
        </w:tc>
      </w:tr>
      <w:tr w14:paraId="1ADF3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0BB916EB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13</w:t>
            </w:r>
          </w:p>
        </w:tc>
        <w:tc>
          <w:tcPr>
            <w:tcW w:w="2771" w:type="dxa"/>
            <w:vAlign w:val="center"/>
          </w:tcPr>
          <w:p w14:paraId="56BABD28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工作分工及完成情况</w:t>
            </w:r>
          </w:p>
        </w:tc>
        <w:tc>
          <w:tcPr>
            <w:tcW w:w="2771" w:type="dxa"/>
            <w:vAlign w:val="center"/>
          </w:tcPr>
          <w:p w14:paraId="71033AB9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个人工作职责与完成情况</w:t>
            </w:r>
          </w:p>
        </w:tc>
      </w:tr>
      <w:tr w14:paraId="6A52D7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5B8E15C8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14</w:t>
            </w:r>
          </w:p>
        </w:tc>
        <w:tc>
          <w:tcPr>
            <w:tcW w:w="2771" w:type="dxa"/>
            <w:vAlign w:val="center"/>
          </w:tcPr>
          <w:p w14:paraId="5A4317AE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个人感受启发</w:t>
            </w:r>
          </w:p>
        </w:tc>
        <w:tc>
          <w:tcPr>
            <w:tcW w:w="2771" w:type="dxa"/>
            <w:vAlign w:val="center"/>
          </w:tcPr>
          <w:p w14:paraId="1A2B82AC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项目经验与思考</w:t>
            </w:r>
          </w:p>
        </w:tc>
      </w:tr>
    </w:tbl>
    <w:p w14:paraId="19C01FFC">
      <w:pPr>
        <w:spacing w:before="0" w:after="80" w:line="240" w:lineRule="auto"/>
      </w:pPr>
    </w:p>
    <w:p w14:paraId="42A1FFB0">
      <w:pPr>
        <w:spacing w:before="280" w:after="160" w:line="360" w:lineRule="auto"/>
      </w:pPr>
      <w:r>
        <w:rPr>
          <w:rFonts w:ascii="黑体" w:hAnsi="黑体" w:eastAsia="黑体"/>
          <w:b/>
          <w:i w:val="0"/>
          <w:color w:val="000000"/>
          <w:sz w:val="30"/>
        </w:rPr>
        <w:t>六、关键技术与难点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211"/>
        <w:gridCol w:w="2078"/>
      </w:tblGrid>
      <w:tr w14:paraId="03F8EE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D9E2F3"/>
            <w:vAlign w:val="center"/>
          </w:tcPr>
          <w:p w14:paraId="294F23D6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技术难点</w:t>
            </w:r>
          </w:p>
        </w:tc>
        <w:tc>
          <w:tcPr>
            <w:tcW w:w="2078" w:type="dxa"/>
            <w:shd w:val="clear" w:color="auto" w:fill="D9E2F3"/>
            <w:vAlign w:val="center"/>
          </w:tcPr>
          <w:p w14:paraId="5ABC57E2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问题描述</w:t>
            </w:r>
          </w:p>
        </w:tc>
        <w:tc>
          <w:tcPr>
            <w:tcW w:w="2078" w:type="dxa"/>
            <w:shd w:val="clear" w:color="auto" w:fill="D9E2F3"/>
            <w:vAlign w:val="center"/>
          </w:tcPr>
          <w:p w14:paraId="510843EB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解决方案</w:t>
            </w:r>
          </w:p>
        </w:tc>
        <w:tc>
          <w:tcPr>
            <w:tcW w:w="2078" w:type="dxa"/>
            <w:shd w:val="clear" w:color="auto" w:fill="D9E2F3"/>
            <w:vAlign w:val="center"/>
          </w:tcPr>
          <w:p w14:paraId="2D89A9BF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负责人</w:t>
            </w:r>
          </w:p>
        </w:tc>
      </w:tr>
      <w:tr w14:paraId="6CC749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2E844397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红队自动进化失败</w:t>
            </w:r>
          </w:p>
        </w:tc>
        <w:tc>
          <w:tcPr>
            <w:tcW w:w="2078" w:type="dxa"/>
            <w:vAlign w:val="center"/>
          </w:tcPr>
          <w:p w14:paraId="02BDF4E0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LLM 变异生成的 Payload 格式不稳定，解析失败</w:t>
            </w:r>
          </w:p>
        </w:tc>
        <w:tc>
          <w:tcPr>
            <w:tcW w:w="2078" w:type="dxa"/>
            <w:vAlign w:val="center"/>
          </w:tcPr>
          <w:p w14:paraId="1913EDE9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多层容错解析（JSON → 字典 → Markdown 剥离），线程池异步执行</w:t>
            </w:r>
          </w:p>
        </w:tc>
        <w:tc>
          <w:tcPr>
            <w:tcW w:w="2078" w:type="dxa"/>
            <w:vAlign w:val="center"/>
          </w:tcPr>
          <w:p w14:paraId="305DA71E">
            <w:pPr>
              <w:spacing w:before="40" w:after="40" w:line="31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刘颖良 柯涵</w:t>
            </w:r>
          </w:p>
        </w:tc>
      </w:tr>
      <w:tr w14:paraId="6BFBED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597417A5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模型合规拒绝生成恶意提示词</w:t>
            </w:r>
          </w:p>
        </w:tc>
        <w:tc>
          <w:tcPr>
            <w:tcW w:w="2078" w:type="dxa"/>
            <w:vAlign w:val="center"/>
          </w:tcPr>
          <w:p w14:paraId="35FD5DFA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开源模型内置安全限制，拒绝生成攻击内容</w:t>
            </w:r>
          </w:p>
        </w:tc>
        <w:tc>
          <w:tcPr>
            <w:tcW w:w="2078" w:type="dxa"/>
            <w:vAlign w:val="center"/>
          </w:tcPr>
          <w:p w14:paraId="1F836A3B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系统提示词重定位为安全评估用途，RedBench 数据集兜底</w:t>
            </w:r>
          </w:p>
        </w:tc>
        <w:tc>
          <w:tcPr>
            <w:tcW w:w="2078" w:type="dxa"/>
            <w:vAlign w:val="center"/>
          </w:tcPr>
          <w:p w14:paraId="6F2037D8">
            <w:pPr>
              <w:spacing w:before="40" w:after="40" w:line="312" w:lineRule="auto"/>
              <w:jc w:val="left"/>
            </w:pP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1"/>
                <w:lang w:val="en-US" w:eastAsia="zh-CN"/>
              </w:rPr>
              <w:t>刘颖良 柯涵</w:t>
            </w:r>
          </w:p>
        </w:tc>
      </w:tr>
      <w:tr w14:paraId="7FA37B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634B48AB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任务进度实时化展示</w:t>
            </w:r>
          </w:p>
        </w:tc>
        <w:tc>
          <w:tcPr>
            <w:tcW w:w="2078" w:type="dxa"/>
            <w:vAlign w:val="center"/>
          </w:tcPr>
          <w:p w14:paraId="052E75B1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前后端数据同步延迟，WebSocket 推送频率与数据量平衡</w:t>
            </w:r>
          </w:p>
        </w:tc>
        <w:tc>
          <w:tcPr>
            <w:tcW w:w="2078" w:type="dxa"/>
            <w:vAlign w:val="center"/>
          </w:tcPr>
          <w:p w14:paraId="7A1937EC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版本比对机制，仅在数据变化时推送，每 0.5 秒检查一次</w:t>
            </w:r>
          </w:p>
        </w:tc>
        <w:tc>
          <w:tcPr>
            <w:tcW w:w="2078" w:type="dxa"/>
            <w:vAlign w:val="center"/>
          </w:tcPr>
          <w:p w14:paraId="5A54C86D">
            <w:pPr>
              <w:spacing w:before="40" w:after="40" w:line="312" w:lineRule="auto"/>
              <w:jc w:val="left"/>
            </w:pP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1"/>
                <w:lang w:val="en-US" w:eastAsia="zh-CN"/>
              </w:rPr>
              <w:t>刘颖良</w:t>
            </w:r>
          </w:p>
        </w:tc>
      </w:tr>
      <w:tr w14:paraId="07C20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2AB48F3D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检测性能优化</w:t>
            </w:r>
          </w:p>
        </w:tc>
        <w:tc>
          <w:tcPr>
            <w:tcW w:w="2078" w:type="dxa"/>
            <w:vAlign w:val="center"/>
          </w:tcPr>
          <w:p w14:paraId="5F4B4692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蓝队双通道检测耗时较长，影响整体流程</w:t>
            </w:r>
          </w:p>
        </w:tc>
        <w:tc>
          <w:tcPr>
            <w:tcW w:w="2078" w:type="dxa"/>
            <w:vAlign w:val="center"/>
          </w:tcPr>
          <w:p w14:paraId="7BA90532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并发执行规则引擎和 LLM 检测，规则先行命中高风险时取消 LLM 调用</w:t>
            </w:r>
          </w:p>
        </w:tc>
        <w:tc>
          <w:tcPr>
            <w:tcW w:w="2078" w:type="dxa"/>
            <w:vAlign w:val="center"/>
          </w:tcPr>
          <w:p w14:paraId="6EC1F614">
            <w:pPr>
              <w:spacing w:before="40" w:after="40" w:line="312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1"/>
                <w:lang w:val="en-US" w:eastAsia="zh-CN"/>
              </w:rPr>
              <w:t xml:space="preserve">刘颖良 </w:t>
            </w:r>
            <w:r>
              <w:rPr>
                <w:rFonts w:hint="eastAsia"/>
                <w:b w:val="0"/>
                <w:i w:val="0"/>
                <w:color w:val="000000"/>
                <w:sz w:val="21"/>
                <w:lang w:val="en-US" w:eastAsia="zh-CN"/>
              </w:rPr>
              <w:t>郑伟业</w:t>
            </w:r>
          </w:p>
        </w:tc>
      </w:tr>
      <w:tr w14:paraId="27EA9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6458A72D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模块间接口协调</w:t>
            </w:r>
          </w:p>
        </w:tc>
        <w:tc>
          <w:tcPr>
            <w:tcW w:w="2078" w:type="dxa"/>
            <w:vAlign w:val="center"/>
          </w:tcPr>
          <w:p w14:paraId="1FC8B16D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红蓝双方接口不匹配，数据格式不一致</w:t>
            </w:r>
          </w:p>
        </w:tc>
        <w:tc>
          <w:tcPr>
            <w:tcW w:w="2078" w:type="dxa"/>
            <w:vAlign w:val="center"/>
          </w:tcPr>
          <w:p w14:paraId="102F9C08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统一数据结构定义（AttackTaskState、RoundResult 等），事件总线标准化</w:t>
            </w:r>
          </w:p>
        </w:tc>
        <w:tc>
          <w:tcPr>
            <w:tcW w:w="2078" w:type="dxa"/>
            <w:vAlign w:val="center"/>
          </w:tcPr>
          <w:p w14:paraId="646E5D2F">
            <w:pPr>
              <w:spacing w:before="40" w:after="40" w:line="312" w:lineRule="auto"/>
              <w:jc w:val="left"/>
            </w:pP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1"/>
                <w:lang w:val="en-US" w:eastAsia="zh-CN"/>
              </w:rPr>
              <w:t>刘颖良</w:t>
            </w:r>
          </w:p>
        </w:tc>
      </w:tr>
    </w:tbl>
    <w:p w14:paraId="2B9953C1">
      <w:pPr>
        <w:spacing w:before="0" w:after="80" w:line="240" w:lineRule="auto"/>
      </w:pPr>
    </w:p>
    <w:p w14:paraId="65F8758B">
      <w:pPr>
        <w:spacing w:before="0" w:after="80" w:line="240" w:lineRule="auto"/>
      </w:pPr>
    </w:p>
    <w:p w14:paraId="205837C4">
      <w:pPr>
        <w:spacing w:before="0" w:after="80" w:line="240" w:lineRule="auto"/>
      </w:pPr>
    </w:p>
    <w:p w14:paraId="520EFB05">
      <w:pPr>
        <w:spacing w:before="0" w:after="80" w:line="240" w:lineRule="auto"/>
      </w:pPr>
    </w:p>
    <w:p w14:paraId="43B3E6AF">
      <w:pPr>
        <w:spacing w:before="280" w:after="160" w:line="360" w:lineRule="auto"/>
      </w:pPr>
      <w:r>
        <w:rPr>
          <w:rFonts w:ascii="黑体" w:hAnsi="黑体" w:eastAsia="黑体"/>
          <w:b/>
          <w:i w:val="0"/>
          <w:color w:val="000000"/>
          <w:sz w:val="30"/>
        </w:rPr>
        <w:t>七、任务书确认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1389"/>
        <w:gridCol w:w="1435"/>
        <w:gridCol w:w="2856"/>
        <w:gridCol w:w="1458"/>
      </w:tblGrid>
      <w:tr w14:paraId="5D2A7F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D9E2F3"/>
            <w:vAlign w:val="center"/>
          </w:tcPr>
          <w:p w14:paraId="19159847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角色</w:t>
            </w:r>
          </w:p>
        </w:tc>
        <w:tc>
          <w:tcPr>
            <w:tcW w:w="1662" w:type="dxa"/>
            <w:shd w:val="clear" w:color="auto" w:fill="D9E2F3"/>
            <w:vAlign w:val="center"/>
          </w:tcPr>
          <w:p w14:paraId="07256995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姓名</w:t>
            </w:r>
          </w:p>
        </w:tc>
        <w:tc>
          <w:tcPr>
            <w:tcW w:w="1662" w:type="dxa"/>
            <w:shd w:val="clear" w:color="auto" w:fill="D9E2F3"/>
            <w:vAlign w:val="center"/>
          </w:tcPr>
          <w:p w14:paraId="0A820A3D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职责确认</w:t>
            </w:r>
          </w:p>
        </w:tc>
        <w:tc>
          <w:tcPr>
            <w:tcW w:w="1662" w:type="dxa"/>
            <w:shd w:val="clear" w:color="auto" w:fill="D9E2F3"/>
            <w:vAlign w:val="center"/>
          </w:tcPr>
          <w:p w14:paraId="626A67C7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签字</w:t>
            </w:r>
          </w:p>
        </w:tc>
        <w:tc>
          <w:tcPr>
            <w:tcW w:w="1662" w:type="dxa"/>
            <w:shd w:val="clear" w:color="auto" w:fill="D9E2F3"/>
            <w:vAlign w:val="center"/>
          </w:tcPr>
          <w:p w14:paraId="602FB3EB"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000000"/>
                <w:sz w:val="21"/>
              </w:rPr>
              <w:t>日期</w:t>
            </w:r>
          </w:p>
        </w:tc>
      </w:tr>
      <w:tr w14:paraId="19C005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5B946005">
            <w:pPr>
              <w:spacing w:before="40" w:after="40" w:line="31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组长</w:t>
            </w:r>
          </w:p>
        </w:tc>
        <w:tc>
          <w:tcPr>
            <w:tcW w:w="1662" w:type="dxa"/>
            <w:vAlign w:val="center"/>
          </w:tcPr>
          <w:p w14:paraId="1F7BEFBC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刘颖良</w:t>
            </w:r>
          </w:p>
        </w:tc>
        <w:tc>
          <w:tcPr>
            <w:tcW w:w="1662" w:type="dxa"/>
            <w:vAlign w:val="center"/>
          </w:tcPr>
          <w:p w14:paraId="175A8479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架构设计、需求落实、前端开发、模型部署</w:t>
            </w:r>
          </w:p>
        </w:tc>
        <w:tc>
          <w:tcPr>
            <w:tcW w:w="1662" w:type="dxa"/>
            <w:vAlign w:val="center"/>
          </w:tcPr>
          <w:p w14:paraId="510F7B91">
            <w:pPr>
              <w:spacing w:before="40" w:after="40" w:line="312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1"/>
                <w:lang w:eastAsia="zh-CN"/>
              </w:rPr>
              <w:drawing>
                <wp:inline distT="0" distB="0" distL="114300" distR="114300">
                  <wp:extent cx="1673225" cy="836930"/>
                  <wp:effectExtent l="0" t="0" r="3175" b="1270"/>
                  <wp:docPr id="2" name="图片 2" descr="f1c6741a325b6167a312fe1e7ec495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f1c6741a325b6167a312fe1e7ec4955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25" cy="83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2" w:type="dxa"/>
            <w:vAlign w:val="center"/>
          </w:tcPr>
          <w:p w14:paraId="7AA1DBA5">
            <w:pPr>
              <w:spacing w:before="40" w:after="40" w:line="312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202</w:t>
            </w:r>
            <w:r>
              <w:rPr>
                <w:rFonts w:hint="eastAsia"/>
                <w:b w:val="0"/>
                <w:i w:val="0"/>
                <w:color w:val="000000"/>
                <w:sz w:val="21"/>
                <w:lang w:val="en-US" w:eastAsia="zh-CN"/>
              </w:rPr>
              <w:t>6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hint="eastAsia"/>
                <w:b w:val="0"/>
                <w:i w:val="0"/>
                <w:color w:val="000000"/>
                <w:sz w:val="21"/>
                <w:lang w:val="en-US" w:eastAsia="zh-CN"/>
              </w:rPr>
              <w:t>8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-2</w:t>
            </w:r>
            <w:r>
              <w:rPr>
                <w:rFonts w:hint="eastAsia"/>
                <w:b w:val="0"/>
                <w:i w:val="0"/>
                <w:color w:val="000000"/>
                <w:sz w:val="21"/>
                <w:lang w:val="en-US" w:eastAsia="zh-CN"/>
              </w:rPr>
              <w:t>1</w:t>
            </w:r>
          </w:p>
        </w:tc>
      </w:tr>
      <w:tr w14:paraId="38514E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0E245ED">
            <w:pPr>
              <w:spacing w:before="40" w:after="40" w:line="312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组员一</w:t>
            </w:r>
          </w:p>
        </w:tc>
        <w:tc>
          <w:tcPr>
            <w:tcW w:w="1662" w:type="dxa"/>
            <w:vAlign w:val="center"/>
          </w:tcPr>
          <w:p w14:paraId="3A456739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柯涵</w:t>
            </w:r>
          </w:p>
        </w:tc>
        <w:tc>
          <w:tcPr>
            <w:tcW w:w="1662" w:type="dxa"/>
            <w:vAlign w:val="center"/>
          </w:tcPr>
          <w:p w14:paraId="4C2672D5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红方核心功能开发</w:t>
            </w:r>
          </w:p>
        </w:tc>
        <w:tc>
          <w:tcPr>
            <w:tcW w:w="1662" w:type="dxa"/>
            <w:vAlign w:val="center"/>
          </w:tcPr>
          <w:p w14:paraId="4BAA3322">
            <w:pPr>
              <w:spacing w:before="40" w:after="40" w:line="312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1"/>
                <w:lang w:eastAsia="zh-CN"/>
              </w:rPr>
              <w:drawing>
                <wp:inline distT="0" distB="0" distL="114300" distR="114300">
                  <wp:extent cx="1674495" cy="1698625"/>
                  <wp:effectExtent l="0" t="0" r="1905" b="3175"/>
                  <wp:docPr id="3" name="图片 3" descr="0dea90f43256066e8e4ecaaa1ae13b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0dea90f43256066e8e4ecaaa1ae13bfc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495" cy="169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2" w:type="dxa"/>
            <w:vAlign w:val="center"/>
          </w:tcPr>
          <w:p w14:paraId="712E521C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202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1"/>
                <w:lang w:val="en-US" w:eastAsia="zh-CN"/>
              </w:rPr>
              <w:t>6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1"/>
                <w:lang w:val="en-US" w:eastAsia="zh-CN"/>
              </w:rPr>
              <w:t>8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-2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1"/>
                <w:lang w:val="en-US" w:eastAsia="zh-CN"/>
              </w:rPr>
              <w:t>1</w:t>
            </w:r>
          </w:p>
        </w:tc>
      </w:tr>
      <w:tr w14:paraId="2E2DC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6DE0C817">
            <w:pPr>
              <w:spacing w:before="40" w:after="40" w:line="312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组员二</w:t>
            </w:r>
          </w:p>
        </w:tc>
        <w:tc>
          <w:tcPr>
            <w:tcW w:w="1662" w:type="dxa"/>
            <w:vAlign w:val="center"/>
          </w:tcPr>
          <w:p w14:paraId="3D2AC31A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郑伟业</w:t>
            </w:r>
          </w:p>
        </w:tc>
        <w:tc>
          <w:tcPr>
            <w:tcW w:w="1662" w:type="dxa"/>
            <w:vAlign w:val="center"/>
          </w:tcPr>
          <w:p w14:paraId="1977D403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蓝方核心功能开发</w:t>
            </w:r>
          </w:p>
        </w:tc>
        <w:tc>
          <w:tcPr>
            <w:tcW w:w="1662" w:type="dxa"/>
            <w:vAlign w:val="center"/>
          </w:tcPr>
          <w:p w14:paraId="39CFD0BF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drawing>
                <wp:inline distT="0" distB="0" distL="114300" distR="114300">
                  <wp:extent cx="1675130" cy="1109980"/>
                  <wp:effectExtent l="0" t="0" r="127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130" cy="110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2" w:type="dxa"/>
            <w:vAlign w:val="center"/>
          </w:tcPr>
          <w:p w14:paraId="719E1A90">
            <w:pPr>
              <w:spacing w:before="40" w:after="40" w:line="312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202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1"/>
                <w:lang w:val="en-US" w:eastAsia="zh-CN"/>
              </w:rPr>
              <w:t>6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-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1"/>
                <w:lang w:val="en-US" w:eastAsia="zh-CN"/>
              </w:rPr>
              <w:t>8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-2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1"/>
                <w:lang w:val="en-US" w:eastAsia="zh-CN"/>
              </w:rPr>
              <w:t>1</w:t>
            </w:r>
          </w:p>
        </w:tc>
      </w:tr>
    </w:tbl>
    <w:p w14:paraId="4FD2BAED">
      <w:pPr>
        <w:spacing w:before="0" w:after="80" w:line="240" w:lineRule="auto"/>
      </w:pP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igma Five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gma Five Sans">
    <w:panose1 w:val="02000500000000000000"/>
    <w:charset w:val="00"/>
    <w:family w:val="auto"/>
    <w:pitch w:val="default"/>
    <w:sig w:usb0="800000A7" w:usb1="5000004A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1C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3106</Words>
  <Characters>3480</Characters>
  <Lines>0</Lines>
  <Paragraphs>0</Paragraphs>
  <TotalTime>5</TotalTime>
  <ScaleCrop>false</ScaleCrop>
  <LinksUpToDate>false</LinksUpToDate>
  <CharactersWithSpaces>3647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sssSnow</cp:lastModifiedBy>
  <dcterms:modified xsi:type="dcterms:W3CDTF">2026-08-21T13:39:23Z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eyJoZGlkIjoiMjBmM2M0MDVjMGM0ZWJlNTI5ZjFiMmRlMjE1YjZhZjMiLCJ1c2VySWQiOiI5NTUxMzI0MTEifQ==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AE2E87F4D96146B8A1D16B0408B677F0_12</vt:lpwstr>
  </property>
</Properties>
</file>