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2EE90BD9" w14:textId="1FE0961F" w:rsidR="0035436B" w:rsidRPr="00CB0930" w:rsidRDefault="00CB0930" w:rsidP="00140190">
            <w:pPr>
              <w:pStyle w:val="Prrafodelista"/>
              <w:numPr>
                <w:ilvl w:val="0"/>
                <w:numId w:val="1"/>
              </w:numPr>
              <w:rPr>
                <w:rFonts w:ascii="Roboto" w:hAnsi="Roboto"/>
                <w:shd w:val="clear" w:color="auto" w:fill="F7F7F7"/>
              </w:rPr>
            </w:pPr>
            <w:r w:rsidRPr="00CB0930">
              <w:rPr>
                <w:rFonts w:ascii="Segoe UI" w:hAnsi="Segoe UI" w:cs="Segoe UI"/>
              </w:rPr>
              <w:t>El código es fácil de entender y sigue una estructura lógica clara. Utiliza variables y operaciones adecuadas para calcular el promedio general de la sección.</w:t>
            </w:r>
          </w:p>
        </w:tc>
        <w:tc>
          <w:tcPr>
            <w:tcW w:w="3105" w:type="dxa"/>
          </w:tcPr>
          <w:p w14:paraId="4AAC03D1" w14:textId="5B183618" w:rsidR="00E97E7F" w:rsidRDefault="007E2AE6" w:rsidP="007E2AE6">
            <w:pPr>
              <w:pStyle w:val="Prrafodelista"/>
              <w:numPr>
                <w:ilvl w:val="0"/>
                <w:numId w:val="1"/>
              </w:numPr>
            </w:pPr>
            <w:r w:rsidRPr="007E2AE6">
              <w:t>El código es fácil de entender y sigue una estructura lógica clara. Utiliza variables y operaciones adecuadas para calcular el promedio general de la sección.</w:t>
            </w:r>
          </w:p>
        </w:tc>
        <w:tc>
          <w:tcPr>
            <w:tcW w:w="3106" w:type="dxa"/>
          </w:tcPr>
          <w:p w14:paraId="6395799E" w14:textId="77841AF7" w:rsidR="00E97E7F" w:rsidRDefault="00CF1652" w:rsidP="00CF1652">
            <w:pPr>
              <w:pStyle w:val="Prrafodelista"/>
              <w:numPr>
                <w:ilvl w:val="0"/>
                <w:numId w:val="1"/>
              </w:numPr>
            </w:pPr>
            <w:r w:rsidRPr="00CF1652">
              <w:t>El código es fácil de entender y sigue una estructura lógica clara. Utiliza variables y operaciones adecuadas para calcular el promedio general de la sección.</w:t>
            </w:r>
          </w:p>
        </w:tc>
      </w:tr>
    </w:tbl>
    <w:p w14:paraId="366EF250" w14:textId="470E1C78" w:rsidR="00994C65" w:rsidRPr="002F10DA" w:rsidRDefault="002F10DA" w:rsidP="002F10DA">
      <w:pPr>
        <w:jc w:val="center"/>
        <w:rPr>
          <w:sz w:val="48"/>
          <w:szCs w:val="48"/>
        </w:rPr>
      </w:pPr>
      <w:r w:rsidRPr="00C53D88">
        <w:rPr>
          <w:sz w:val="48"/>
          <w:szCs w:val="48"/>
        </w:rPr>
        <w:t xml:space="preserve">Ejercicio </w:t>
      </w:r>
      <w:r w:rsidR="00CB0930">
        <w:rPr>
          <w:sz w:val="48"/>
          <w:szCs w:val="48"/>
        </w:rPr>
        <w:t>4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7B583B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11456A"/>
    <w:rsid w:val="00140190"/>
    <w:rsid w:val="001830DA"/>
    <w:rsid w:val="00225FF8"/>
    <w:rsid w:val="002750F2"/>
    <w:rsid w:val="002E72FF"/>
    <w:rsid w:val="002F10DA"/>
    <w:rsid w:val="0035436B"/>
    <w:rsid w:val="006C66E6"/>
    <w:rsid w:val="006E11DC"/>
    <w:rsid w:val="0077665A"/>
    <w:rsid w:val="007E2AE6"/>
    <w:rsid w:val="00821B8E"/>
    <w:rsid w:val="009103D9"/>
    <w:rsid w:val="009160F8"/>
    <w:rsid w:val="00994C65"/>
    <w:rsid w:val="00C53D88"/>
    <w:rsid w:val="00CB0930"/>
    <w:rsid w:val="00CB24E4"/>
    <w:rsid w:val="00CB64BA"/>
    <w:rsid w:val="00CF1652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21</cp:revision>
  <dcterms:created xsi:type="dcterms:W3CDTF">2024-05-03T05:16:00Z</dcterms:created>
  <dcterms:modified xsi:type="dcterms:W3CDTF">2024-05-03T06:42:00Z</dcterms:modified>
</cp:coreProperties>
</file>