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8"/>
        </w:rPr>
        <w:br/>
        <w:br/>
        <w:br/>
        <w:t>Computational Finance in Python</w:t>
      </w:r>
    </w:p>
    <w:p>
      <w:pPr>
        <w:jc w:val="center"/>
      </w:pPr>
      <w:r>
        <w:rPr>
          <w:color w:val="555555"/>
          <w:sz w:val="28"/>
        </w:rPr>
        <w:t>Universität Tübingen  ·  Group 7  ·  Presentation Guide</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20"/>
              </w:rPr>
              <w:t>Member</w:t>
            </w:r>
          </w:p>
        </w:tc>
        <w:tc>
          <w:tcPr>
            <w:tcW w:type="dxa" w:w="4703"/>
            <w:shd w:val="clear" w:color="auto" w:fill="1A1A2E"/>
          </w:tcPr>
          <w:p>
            <w:r>
              <w:rPr>
                <w:b/>
                <w:color w:val="FFFFFF"/>
                <w:sz w:val="20"/>
              </w:rPr>
              <w:t>Presentation Role</w:t>
            </w:r>
          </w:p>
        </w:tc>
      </w:tr>
      <w:tr>
        <w:tc>
          <w:tcPr>
            <w:tcW w:type="dxa" w:w="4703"/>
            <w:shd w:val="clear" w:color="auto" w:fill="1F77B4"/>
          </w:tcPr>
          <w:p>
            <w:r>
              <w:rPr>
                <w:b/>
                <w:color w:val="FFFFFF"/>
                <w:sz w:val="20"/>
              </w:rPr>
              <w:t xml:space="preserve">  Daanish Muzaffar (7259472)</w:t>
            </w:r>
          </w:p>
        </w:tc>
        <w:tc>
          <w:tcPr>
            <w:tcW w:type="dxa" w:w="4703"/>
          </w:tcPr>
          <w:p>
            <w:r>
              <w:rPr>
                <w:sz w:val="20"/>
              </w:rPr>
              <w:t>Research NB – Intro, ETF Screening &amp; Signal Catalogue</w:t>
            </w:r>
          </w:p>
        </w:tc>
      </w:tr>
      <w:tr>
        <w:tc>
          <w:tcPr>
            <w:tcW w:type="dxa" w:w="4703"/>
            <w:shd w:val="clear" w:color="auto" w:fill="2CA02C"/>
          </w:tcPr>
          <w:p>
            <w:r>
              <w:rPr>
                <w:b/>
                <w:color w:val="FFFFFF"/>
                <w:sz w:val="20"/>
              </w:rPr>
              <w:t xml:space="preserve">  Florian Niklas Hintz (7299289)</w:t>
            </w:r>
          </w:p>
        </w:tc>
        <w:tc>
          <w:tcPr>
            <w:tcW w:type="dxa" w:w="4703"/>
          </w:tcPr>
          <w:p>
            <w:r>
              <w:rPr>
                <w:sz w:val="20"/>
              </w:rPr>
              <w:t>Research NB – IS Optimisation, DSR &amp; Walk-Forward Results</w:t>
            </w:r>
          </w:p>
        </w:tc>
      </w:tr>
      <w:tr>
        <w:tc>
          <w:tcPr>
            <w:tcW w:type="dxa" w:w="4703"/>
            <w:shd w:val="clear" w:color="auto" w:fill="D62728"/>
          </w:tcPr>
          <w:p>
            <w:r>
              <w:rPr>
                <w:b/>
                <w:color w:val="FFFFFF"/>
                <w:sz w:val="20"/>
              </w:rPr>
              <w:t xml:space="preserve">  Philip Boehnke (7383580)</w:t>
            </w:r>
          </w:p>
        </w:tc>
        <w:tc>
          <w:tcPr>
            <w:tcW w:type="dxa" w:w="4703"/>
          </w:tcPr>
          <w:p>
            <w:r>
              <w:rPr>
                <w:sz w:val="20"/>
              </w:rPr>
              <w:t>Assessment NB – Signals, Portfolio &amp; Performance Summary</w:t>
            </w:r>
          </w:p>
        </w:tc>
      </w:tr>
      <w:tr>
        <w:tc>
          <w:tcPr>
            <w:tcW w:type="dxa" w:w="4703"/>
            <w:shd w:val="clear" w:color="auto" w:fill="9B59B6"/>
          </w:tcPr>
          <w:p>
            <w:r>
              <w:rPr>
                <w:b/>
                <w:color w:val="FFFFFF"/>
                <w:sz w:val="20"/>
              </w:rPr>
              <w:t xml:space="preserve">  Walid Al-Nimah (6075417)</w:t>
            </w:r>
          </w:p>
        </w:tc>
        <w:tc>
          <w:tcPr>
            <w:tcW w:type="dxa" w:w="4703"/>
          </w:tcPr>
          <w:p>
            <w:r>
              <w:rPr>
                <w:sz w:val="20"/>
              </w:rPr>
              <w:t>Assessment NB – Robustness, Walk-Forward &amp; Conclusion</w:t>
            </w:r>
          </w:p>
        </w:tc>
      </w:tr>
    </w:tbl>
    <w:p/>
    <w:p>
      <w:pPr>
        <w:spacing w:before="0" w:after="60"/>
        <w:jc w:val="center"/>
      </w:pPr>
      <w:r>
        <w:rPr>
          <w:b/>
          <w:i w:val="0"/>
          <w:color w:val="C00000"/>
          <w:sz w:val="22"/>
        </w:rPr>
        <w:t>Assessment date: 01.07.2026  |  Duration: 20 min presentation + 10 min defense</w:t>
      </w:r>
    </w:p>
    <w:p>
      <w:pPr>
        <w:spacing w:before="0" w:after="60"/>
        <w:jc w:val="center"/>
      </w:pPr>
      <w:r>
        <w:rPr>
          <w:b w:val="0"/>
          <w:i/>
          <w:color w:val="555555"/>
          <w:sz w:val="20"/>
        </w:rPr>
        <w:t>DO NOT read from this document during the presentation. Use it only for preparation.</w:t>
      </w:r>
    </w:p>
    <w:p>
      <w:r>
        <w:br w:type="page"/>
      </w:r>
    </w:p>
    <w:p>
      <w:pPr>
        <w:pStyle w:val="Heading1"/>
        <w:spacing w:before="240" w:after="80"/>
      </w:pPr>
      <w:r>
        <w:rPr>
          <w:color w:val="1A1A2E"/>
          <w:sz w:val="36"/>
        </w:rPr>
        <w:t>Presentation Structure &amp; Time Plan</w:t>
      </w:r>
    </w:p>
    <w:p>
      <w:pPr>
        <w:spacing w:before="0" w:after="60"/>
      </w:pPr>
      <w:r>
        <w:rPr>
          <w:b w:val="0"/>
          <w:i w:val="0"/>
          <w:color w:val="555555"/>
          <w:sz w:val="20"/>
        </w:rPr>
        <w:t>The professor explicitly says: present your notebooks — do not prepare slides. Walk through the notebooks on screen in the order below. Grading is individual; every member must speak and be able to defend their section.</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w:t>
            </w:r>
          </w:p>
        </w:tc>
        <w:tc>
          <w:tcPr>
            <w:tcW w:type="dxa" w:w="2351"/>
            <w:shd w:val="clear" w:color="auto" w:fill="1A1A2E"/>
          </w:tcPr>
          <w:p>
            <w:r>
              <w:rPr>
                <w:b/>
                <w:color w:val="FFFFFF"/>
                <w:sz w:val="20"/>
              </w:rPr>
              <w:t>Speaker</w:t>
            </w:r>
          </w:p>
        </w:tc>
        <w:tc>
          <w:tcPr>
            <w:tcW w:type="dxa" w:w="2351"/>
            <w:shd w:val="clear" w:color="auto" w:fill="1A1A2E"/>
          </w:tcPr>
          <w:p>
            <w:r>
              <w:rPr>
                <w:b/>
                <w:color w:val="FFFFFF"/>
                <w:sz w:val="20"/>
              </w:rPr>
              <w:t>Notebook / Section</w:t>
            </w:r>
          </w:p>
        </w:tc>
        <w:tc>
          <w:tcPr>
            <w:tcW w:type="dxa" w:w="2351"/>
            <w:shd w:val="clear" w:color="auto" w:fill="1A1A2E"/>
          </w:tcPr>
          <w:p>
            <w:r>
              <w:rPr>
                <w:b/>
                <w:color w:val="FFFFFF"/>
                <w:sz w:val="20"/>
              </w:rPr>
              <w:t>Time</w:t>
            </w:r>
          </w:p>
        </w:tc>
      </w:tr>
      <w:tr>
        <w:tc>
          <w:tcPr>
            <w:tcW w:type="dxa" w:w="2351"/>
            <w:shd w:val="clear" w:color="auto" w:fill="1F77B4"/>
          </w:tcPr>
          <w:p>
            <w:r>
              <w:rPr>
                <w:b/>
                <w:color w:val="FFFFFF"/>
                <w:sz w:val="20"/>
              </w:rPr>
              <w:t>1</w:t>
            </w:r>
          </w:p>
        </w:tc>
        <w:tc>
          <w:tcPr>
            <w:tcW w:type="dxa" w:w="2351"/>
          </w:tcPr>
          <w:p>
            <w:r>
              <w:rPr>
                <w:sz w:val="20"/>
              </w:rPr>
              <w:t>Daanish</w:t>
            </w:r>
          </w:p>
        </w:tc>
        <w:tc>
          <w:tcPr>
            <w:tcW w:type="dxa" w:w="2351"/>
          </w:tcPr>
          <w:p>
            <w:r>
              <w:rPr>
                <w:sz w:val="20"/>
              </w:rPr>
              <w:t>Research NB §1–3  (Intro · Data · Signal Catalogue · ETF Assignment)</w:t>
            </w:r>
          </w:p>
        </w:tc>
        <w:tc>
          <w:tcPr>
            <w:tcW w:type="dxa" w:w="2351"/>
          </w:tcPr>
          <w:p>
            <w:r>
              <w:rPr>
                <w:sz w:val="20"/>
              </w:rPr>
              <w:t>~5 min</w:t>
            </w:r>
          </w:p>
        </w:tc>
      </w:tr>
      <w:tr>
        <w:tc>
          <w:tcPr>
            <w:tcW w:type="dxa" w:w="2351"/>
            <w:shd w:val="clear" w:color="auto" w:fill="2CA02C"/>
          </w:tcPr>
          <w:p>
            <w:r>
              <w:rPr>
                <w:b/>
                <w:color w:val="FFFFFF"/>
                <w:sz w:val="20"/>
              </w:rPr>
              <w:t>2</w:t>
            </w:r>
          </w:p>
        </w:tc>
        <w:tc>
          <w:tcPr>
            <w:tcW w:type="dxa" w:w="2351"/>
          </w:tcPr>
          <w:p>
            <w:r>
              <w:rPr>
                <w:sz w:val="20"/>
              </w:rPr>
              <w:t>Florian</w:t>
            </w:r>
          </w:p>
        </w:tc>
        <w:tc>
          <w:tcPr>
            <w:tcW w:type="dxa" w:w="2351"/>
          </w:tcPr>
          <w:p>
            <w:r>
              <w:rPr>
                <w:sz w:val="20"/>
              </w:rPr>
              <w:t>Research NB §4–8  (IS Optimisation · DSR · Walk-Forward · Conclusion)</w:t>
            </w:r>
          </w:p>
        </w:tc>
        <w:tc>
          <w:tcPr>
            <w:tcW w:type="dxa" w:w="2351"/>
          </w:tcPr>
          <w:p>
            <w:r>
              <w:rPr>
                <w:sz w:val="20"/>
              </w:rPr>
              <w:t>~5 min</w:t>
            </w:r>
          </w:p>
        </w:tc>
      </w:tr>
      <w:tr>
        <w:tc>
          <w:tcPr>
            <w:tcW w:type="dxa" w:w="2351"/>
            <w:shd w:val="clear" w:color="auto" w:fill="D62728"/>
          </w:tcPr>
          <w:p>
            <w:r>
              <w:rPr>
                <w:b/>
                <w:color w:val="FFFFFF"/>
                <w:sz w:val="20"/>
              </w:rPr>
              <w:t>3</w:t>
            </w:r>
          </w:p>
        </w:tc>
        <w:tc>
          <w:tcPr>
            <w:tcW w:type="dxa" w:w="2351"/>
          </w:tcPr>
          <w:p>
            <w:r>
              <w:rPr>
                <w:sz w:val="20"/>
              </w:rPr>
              <w:t>Philip</w:t>
            </w:r>
          </w:p>
        </w:tc>
        <w:tc>
          <w:tcPr>
            <w:tcW w:type="dxa" w:w="2351"/>
          </w:tcPr>
          <w:p>
            <w:r>
              <w:rPr>
                <w:sz w:val="20"/>
              </w:rPr>
              <w:t>Assessment NB §1–3  (Signals · Portfolio · Performance Summary)</w:t>
            </w:r>
          </w:p>
        </w:tc>
        <w:tc>
          <w:tcPr>
            <w:tcW w:type="dxa" w:w="2351"/>
          </w:tcPr>
          <w:p>
            <w:r>
              <w:rPr>
                <w:sz w:val="20"/>
              </w:rPr>
              <w:t>~5 min</w:t>
            </w:r>
          </w:p>
        </w:tc>
      </w:tr>
      <w:tr>
        <w:tc>
          <w:tcPr>
            <w:tcW w:type="dxa" w:w="2351"/>
            <w:shd w:val="clear" w:color="auto" w:fill="9B59B6"/>
          </w:tcPr>
          <w:p>
            <w:r>
              <w:rPr>
                <w:b/>
                <w:color w:val="FFFFFF"/>
                <w:sz w:val="20"/>
              </w:rPr>
              <w:t>4</w:t>
            </w:r>
          </w:p>
        </w:tc>
        <w:tc>
          <w:tcPr>
            <w:tcW w:type="dxa" w:w="2351"/>
          </w:tcPr>
          <w:p>
            <w:r>
              <w:rPr>
                <w:sz w:val="20"/>
              </w:rPr>
              <w:t>Walid</w:t>
            </w:r>
          </w:p>
        </w:tc>
        <w:tc>
          <w:tcPr>
            <w:tcW w:type="dxa" w:w="2351"/>
          </w:tcPr>
          <w:p>
            <w:r>
              <w:rPr>
                <w:sz w:val="20"/>
              </w:rPr>
              <w:t>Assessment NB §4–5  (Robustness · Walk-Forward Validation · Wrap-up)</w:t>
            </w:r>
          </w:p>
        </w:tc>
        <w:tc>
          <w:tcPr>
            <w:tcW w:type="dxa" w:w="2351"/>
          </w:tcPr>
          <w:p>
            <w:r>
              <w:rPr>
                <w:sz w:val="20"/>
              </w:rPr>
              <w:t>~5 min</w:t>
            </w:r>
          </w:p>
        </w:tc>
      </w:tr>
      <w:tr>
        <w:tc>
          <w:tcPr>
            <w:tcW w:type="dxa" w:w="2351"/>
            <w:shd w:val="clear" w:color="auto" w:fill="9B59B6"/>
          </w:tcPr>
          <w:p>
            <w:r>
              <w:rPr>
                <w:b/>
                <w:color w:val="FFFFFF"/>
                <w:sz w:val="20"/>
              </w:rPr>
              <w:t>–</w:t>
            </w:r>
          </w:p>
        </w:tc>
        <w:tc>
          <w:tcPr>
            <w:tcW w:type="dxa" w:w="2351"/>
          </w:tcPr>
          <w:p>
            <w:r>
              <w:rPr>
                <w:sz w:val="20"/>
              </w:rPr>
              <w:t>All</w:t>
            </w:r>
          </w:p>
        </w:tc>
        <w:tc>
          <w:tcPr>
            <w:tcW w:type="dxa" w:w="2351"/>
          </w:tcPr>
          <w:p>
            <w:r>
              <w:rPr>
                <w:sz w:val="20"/>
              </w:rPr>
              <w:t>Defense / Q&amp;A</w:t>
            </w:r>
          </w:p>
        </w:tc>
        <w:tc>
          <w:tcPr>
            <w:tcW w:type="dxa" w:w="2351"/>
          </w:tcPr>
          <w:p>
            <w:r>
              <w:rPr>
                <w:sz w:val="20"/>
              </w:rPr>
              <w:t>10 min</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404"/>
                <w:sz w:val="18"/>
              </w:rPr>
              <w:t xml:space="preserve">  TIP  </w:t>
            </w:r>
            <w:r>
              <w:rPr>
                <w:color w:val="503C00"/>
                <w:sz w:val="18"/>
              </w:rPr>
              <w:t xml:space="preserve">  Open both notebooks in JupyterLab before the session. Run all cells. Have the notebook collapsed to section headers so you can jump quickly.</w:t>
            </w:r>
          </w:p>
        </w:tc>
      </w:tr>
    </w:tbl>
    <w:p>
      <w:pPr>
        <w:spacing w:after="40"/>
      </w:pPr>
    </w:p>
    <w:p>
      <w:r>
        <w:br w:type="page"/>
      </w:r>
    </w:p>
    <w:p>
      <w:pPr>
        <w:pStyle w:val="Heading1"/>
        <w:spacing w:before="120" w:after="80"/>
      </w:pPr>
      <w:r>
        <w:rPr>
          <w:color w:val="16213E"/>
          <w:sz w:val="36"/>
        </w:rPr>
        <w:t>PART 1 — research_notebook_group7.ipynb</w:t>
      </w:r>
    </w:p>
    <w:p>
      <w:pPr>
        <w:spacing w:before="0" w:after="60"/>
      </w:pPr>
      <w:r>
        <w:rPr>
          <w:b w:val="0"/>
          <w:i w:val="0"/>
          <w:color w:val="555555"/>
          <w:sz w:val="20"/>
        </w:rPr>
        <w:t>This notebook provides the empirical evidence for why these three signals were chosen and what parameters are correct. Present it first — it motivates everything in the assessment notebook.</w:t>
      </w:r>
    </w:p>
    <w:p>
      <w:pPr>
        <w:spacing w:before="120" w:after="120"/>
      </w:pPr>
      <w:r>
        <w:rPr>
          <w:color w:val="CCCCCC"/>
          <w:sz w:val="14"/>
        </w:rPr>
        <w:t>──────────────────────────────────────────────────────────────────────────────────────────</w:t>
      </w:r>
    </w:p>
    <w:p>
      <w:pPr>
        <w:pStyle w:val="Heading2"/>
        <w:spacing w:before="240" w:after="80"/>
      </w:pPr>
      <w:r>
        <w:rPr>
          <w:color w:val="1F77B4"/>
          <w:sz w:val="28"/>
        </w:rPr>
        <w:t>§1–3  Setup · Signal Catalogue · ETF Assignment</w:t>
      </w:r>
    </w:p>
    <w:tbl>
      <w:tblPr>
        <w:tblStyle w:val="TableGrid"/>
        <w:tblW w:type="auto" w:w="0"/>
        <w:tblLook w:firstColumn="1" w:firstRow="1" w:lastColumn="0" w:lastRow="0" w:noHBand="0" w:noVBand="1" w:val="04A0"/>
      </w:tblPr>
      <w:tblGrid>
        <w:gridCol w:w="9406"/>
      </w:tblGrid>
      <w:tr>
        <w:tc>
          <w:tcPr>
            <w:tcW w:type="dxa" w:w="9406"/>
            <w:shd w:val="clear" w:color="auto" w:fill="1F77B4"/>
            <w:vAlign w:val="center"/>
          </w:tcPr>
          <w:p>
            <w:pPr>
              <w:jc w:val="left"/>
            </w:pPr>
            <w:r>
              <w:rPr>
                <w:b/>
                <w:color w:val="FFFFFF"/>
                <w:sz w:val="20"/>
              </w:rPr>
              <w:t xml:space="preserve">  SPEAKER: Daanish Muzaffar (7259472)   |   ROLE: Research NB opener   |   ~5 min  (§1, 2, 3)</w:t>
            </w:r>
          </w:p>
        </w:tc>
      </w:tr>
    </w:tbl>
    <w:p>
      <w:pPr>
        <w:spacing w:after="40"/>
      </w:pPr>
    </w:p>
    <w:p>
      <w:pPr>
        <w:pStyle w:val="Heading3"/>
        <w:spacing w:before="120" w:after="80"/>
      </w:pPr>
      <w:r>
        <w:rPr>
          <w:color w:val="1A1A2E"/>
          <w:sz w:val="24"/>
        </w:rPr>
        <w:t>What to show on screen</w:t>
      </w:r>
    </w:p>
    <w:p>
      <w:pPr>
        <w:pStyle w:val="ListBullet"/>
        <w:spacing w:before="0" w:after="40"/>
        <w:ind w:left="432"/>
      </w:pPr>
      <w:r>
        <w:rPr>
          <w:sz w:val="20"/>
        </w:rPr>
        <w:t>Open research_notebook_group7.ipynb, scroll to the title cell.</w:t>
      </w:r>
    </w:p>
    <w:p>
      <w:pPr>
        <w:pStyle w:val="ListBullet"/>
        <w:spacing w:before="0" w:after="40"/>
        <w:ind w:left="432"/>
      </w:pPr>
      <w:r>
        <w:rPr>
          <w:sz w:val="20"/>
        </w:rPr>
        <w:t>Click through §1 Setup — confirm data loads (6,538 rows, 2000–2025).</w:t>
      </w:r>
    </w:p>
    <w:p>
      <w:pPr>
        <w:pStyle w:val="ListBullet"/>
        <w:spacing w:before="0" w:after="40"/>
        <w:ind w:left="432"/>
      </w:pPr>
      <w:r>
        <w:rPr>
          <w:sz w:val="20"/>
        </w:rPr>
        <w:t>Scroll to §2 Signal Catalogue — show the three signal formulas.</w:t>
      </w:r>
    </w:p>
    <w:p>
      <w:pPr>
        <w:pStyle w:val="ListBullet"/>
        <w:spacing w:before="0" w:after="40"/>
        <w:ind w:left="432"/>
      </w:pPr>
      <w:r>
        <w:rPr>
          <w:sz w:val="20"/>
        </w:rPr>
        <w:t>Scroll to §3 ETF Assignment — show the 70-pair screening table output and the summary rationale table.</w:t>
      </w:r>
    </w:p>
    <w:p>
      <w:pPr>
        <w:pStyle w:val="Heading3"/>
        <w:spacing w:before="120" w:after="80"/>
      </w:pPr>
      <w:r>
        <w:rPr>
          <w:color w:val="1A1A2E"/>
          <w:sz w:val="24"/>
        </w:rPr>
        <w:t>Key talking points — Economic Reasoning</w:t>
      </w:r>
    </w:p>
    <w:p>
      <w:pPr>
        <w:pStyle w:val="ListBullet"/>
        <w:spacing w:before="0" w:after="40"/>
        <w:ind w:left="432"/>
      </w:pPr>
      <w:r>
        <w:rPr>
          <w:b/>
          <w:sz w:val="20"/>
        </w:rPr>
        <w:t xml:space="preserve">Diversification of strategy logic: </w:t>
      </w:r>
      <w:r>
        <w:rPr>
          <w:sz w:val="20"/>
        </w:rPr>
        <w:t>Why three different signal types?</w:t>
      </w:r>
    </w:p>
    <w:p>
      <w:pPr>
        <w:pStyle w:val="ListBullet"/>
        <w:spacing w:before="0" w:after="40"/>
        <w:ind w:left="720"/>
      </w:pPr>
      <w:r>
        <w:rPr>
          <w:color w:val="555555"/>
          <w:sz w:val="20"/>
        </w:rPr>
        <w:t>MA Crossover is trend-following. RSI is mean-reversion. Donchian is breakout. These are structurally uncorrelated — they do not all fail at the same time.</w:t>
      </w:r>
    </w:p>
    <w:p>
      <w:pPr>
        <w:pStyle w:val="ListBullet"/>
        <w:spacing w:before="0" w:after="40"/>
        <w:ind w:left="432"/>
      </w:pPr>
      <w:r>
        <w:rPr>
          <w:b/>
          <w:sz w:val="20"/>
        </w:rPr>
        <w:t xml:space="preserve">XLF for MA Crossover: </w:t>
      </w:r>
      <w:r>
        <w:rPr>
          <w:sz w:val="20"/>
        </w:rPr>
        <w:t>Interest-rate cycles create slow, persistent multi-year trends in bank margins and loan demand — exactly what a long-window golden-cross captures.</w:t>
      </w:r>
    </w:p>
    <w:p>
      <w:pPr>
        <w:pStyle w:val="ListBullet"/>
        <w:spacing w:before="0" w:after="40"/>
        <w:ind w:left="432"/>
      </w:pPr>
      <w:r>
        <w:rPr>
          <w:b/>
          <w:sz w:val="20"/>
        </w:rPr>
        <w:t xml:space="preserve">XLB for RSI: </w:t>
      </w:r>
      <w:r>
        <w:rPr>
          <w:sz w:val="20"/>
        </w:rPr>
        <w:t>Commodity prices (metals, chemicals) overshoot on global demand swings and revert when the PMI cycle turns — a classic oversold bounce RSI captures (De Bondt &amp; Thaler 1985).</w:t>
      </w:r>
    </w:p>
    <w:p>
      <w:pPr>
        <w:pStyle w:val="ListBullet"/>
        <w:spacing w:before="0" w:after="40"/>
        <w:ind w:left="432"/>
      </w:pPr>
      <w:r>
        <w:rPr>
          <w:b/>
          <w:sz w:val="20"/>
        </w:rPr>
        <w:t xml:space="preserve">XLK for Donchian: </w:t>
      </w:r>
      <w:r>
        <w:rPr>
          <w:sz w:val="20"/>
        </w:rPr>
        <w:t>Technology returns follow multi-year product adoption S-curves. Once a breakout above the 125-day channel confirms a new cycle, the trend sustains.</w:t>
      </w:r>
    </w:p>
    <w:p>
      <w:pPr>
        <w:pStyle w:val="ListBullet"/>
        <w:spacing w:before="0" w:after="40"/>
        <w:ind w:left="432"/>
      </w:pPr>
      <w:r>
        <w:rPr>
          <w:b/>
          <w:sz w:val="20"/>
        </w:rPr>
        <w:t xml:space="preserve">ETF choice is not cherry-picked: </w:t>
      </w:r>
      <w:r>
        <w:rPr>
          <w:sz w:val="20"/>
        </w:rPr>
        <w:t>Assignments were driven purely by IS Sortino, not OOS performance. Show the table: MA–XLF IS Sortino = 1.22, RSI–XLB = 1.03, Donchian–XLK = 1.07.</w:t>
      </w:r>
    </w:p>
    <w:p>
      <w:pPr>
        <w:pStyle w:val="ListBullet"/>
        <w:spacing w:before="0" w:after="40"/>
        <w:ind w:left="432"/>
      </w:pPr>
      <w:r>
        <w:rPr>
          <w:b/>
          <w:sz w:val="20"/>
        </w:rPr>
        <w:t xml:space="preserve">Why ETFs over individual stocks? </w:t>
      </w:r>
      <w:r>
        <w:rPr>
          <w:sz w:val="20"/>
        </w:rPr>
        <w:t>ETFs diversify away single-stock idiosyncratic risk; each sector ETF holds 20–70 stocks.</w:t>
      </w:r>
    </w:p>
    <w:tbl>
      <w:tblPr>
        <w:tblStyle w:val="TableGrid"/>
        <w:tblW w:type="auto" w:w="0"/>
        <w:tblLook w:firstColumn="1" w:firstRow="1" w:lastColumn="0" w:lastRow="0" w:noHBand="0" w:noVBand="1" w:val="04A0"/>
      </w:tblPr>
      <w:tblGrid>
        <w:gridCol w:w="9406"/>
      </w:tblGrid>
      <w:tr>
        <w:tc>
          <w:tcPr>
            <w:tcW w:type="dxa" w:w="9406"/>
            <w:shd w:val="clear" w:color="auto" w:fill="D4EDDA"/>
          </w:tcPr>
          <w:p>
            <w:r>
              <w:rPr>
                <w:b/>
                <w:color w:val="1A7A3C"/>
                <w:sz w:val="18"/>
              </w:rPr>
              <w:t xml:space="preserve">  RESULT  </w:t>
            </w:r>
            <w:r>
              <w:rPr>
                <w:sz w:val="18"/>
              </w:rPr>
              <w:t xml:space="preserve">  Key numbers to say aloud: 70 signal-ETF combinations screened. IS Sortino: XLF 1.22 | XLB 1.03 | XLK 1.07. Assignments were IS-driven, not OOS-driven.</w:t>
            </w:r>
          </w:p>
        </w:tc>
      </w:tr>
    </w:tbl>
    <w:p>
      <w:pPr>
        <w:spacing w:after="40"/>
      </w:pPr>
    </w:p>
    <w:p>
      <w:pPr>
        <w:spacing w:before="120" w:after="120"/>
      </w:pPr>
      <w:r>
        <w:rPr>
          <w:color w:val="CCCCCC"/>
          <w:sz w:val="14"/>
        </w:rPr>
        <w:t>──────────────────────────────────────────────────────────────────────────────────────────</w:t>
      </w:r>
    </w:p>
    <w:p>
      <w:pPr>
        <w:pStyle w:val="Heading2"/>
        <w:spacing w:before="240" w:after="80"/>
      </w:pPr>
      <w:r>
        <w:rPr>
          <w:color w:val="2CA02C"/>
          <w:sz w:val="28"/>
        </w:rPr>
        <w:t>§4–8  IS Optimisation · DSR · Performance · Charts · Conclusion</w:t>
      </w:r>
    </w:p>
    <w:tbl>
      <w:tblPr>
        <w:tblStyle w:val="TableGrid"/>
        <w:tblW w:type="auto" w:w="0"/>
        <w:tblLook w:firstColumn="1" w:firstRow="1" w:lastColumn="0" w:lastRow="0" w:noHBand="0" w:noVBand="1" w:val="04A0"/>
      </w:tblPr>
      <w:tblGrid>
        <w:gridCol w:w="9406"/>
      </w:tblGrid>
      <w:tr>
        <w:tc>
          <w:tcPr>
            <w:tcW w:type="dxa" w:w="9406"/>
            <w:shd w:val="clear" w:color="auto" w:fill="2CA02C"/>
            <w:vAlign w:val="center"/>
          </w:tcPr>
          <w:p>
            <w:pPr>
              <w:jc w:val="left"/>
            </w:pPr>
            <w:r>
              <w:rPr>
                <w:b/>
                <w:color w:val="FFFFFF"/>
                <w:sz w:val="20"/>
              </w:rPr>
              <w:t xml:space="preserve">  SPEAKER: Florian Niklas Hintz (7299289)   |   ROLE: Research NB results   |   ~5 min  (§4, 5, 6, 7, 8)</w:t>
            </w:r>
          </w:p>
        </w:tc>
      </w:tr>
    </w:tbl>
    <w:p>
      <w:pPr>
        <w:spacing w:after="40"/>
      </w:pPr>
    </w:p>
    <w:p>
      <w:pPr>
        <w:pStyle w:val="Heading3"/>
        <w:spacing w:before="120" w:after="80"/>
      </w:pPr>
      <w:r>
        <w:rPr>
          <w:color w:val="1A1A2E"/>
          <w:sz w:val="24"/>
        </w:rPr>
        <w:t>What to show on screen</w:t>
      </w:r>
    </w:p>
    <w:p>
      <w:pPr>
        <w:pStyle w:val="ListBullet"/>
        <w:spacing w:before="0" w:after="40"/>
        <w:ind w:left="432"/>
      </w:pPr>
      <w:r>
        <w:rPr>
          <w:sz w:val="20"/>
        </w:rPr>
        <w:t>Scroll to §4 IS Optimisation — show the three Sortino heatmaps.</w:t>
      </w:r>
    </w:p>
    <w:p>
      <w:pPr>
        <w:pStyle w:val="ListBullet"/>
        <w:spacing w:before="0" w:after="40"/>
        <w:ind w:left="432"/>
      </w:pPr>
      <w:r>
        <w:rPr>
          <w:sz w:val="20"/>
        </w:rPr>
        <w:t>Show the Deflated Sharpe Ratio table (DSR output).</w:t>
      </w:r>
    </w:p>
    <w:p>
      <w:pPr>
        <w:pStyle w:val="ListBullet"/>
        <w:spacing w:before="0" w:after="40"/>
        <w:ind w:left="432"/>
      </w:pPr>
      <w:r>
        <w:rPr>
          <w:sz w:val="20"/>
        </w:rPr>
        <w:t>Scroll to §5 Performance Table — read out the headline numbers.</w:t>
      </w:r>
    </w:p>
    <w:p>
      <w:pPr>
        <w:pStyle w:val="ListBullet"/>
        <w:spacing w:before="0" w:after="40"/>
        <w:ind w:left="432"/>
      </w:pPr>
      <w:r>
        <w:rPr>
          <w:sz w:val="20"/>
        </w:rPr>
        <w:t>Scroll to §6 Cumulative Return Curves — walk across all 9 panels briefly.</w:t>
      </w:r>
    </w:p>
    <w:p>
      <w:pPr>
        <w:pStyle w:val="ListBullet"/>
        <w:spacing w:before="0" w:after="40"/>
        <w:ind w:left="432"/>
      </w:pPr>
      <w:r>
        <w:rPr>
          <w:sz w:val="20"/>
        </w:rPr>
        <w:t>Scroll to §7 Drawdown Curves — point out the key OOS2 period.</w:t>
      </w:r>
    </w:p>
    <w:p>
      <w:pPr>
        <w:pStyle w:val="ListBullet"/>
        <w:spacing w:before="0" w:after="40"/>
        <w:ind w:left="432"/>
      </w:pPr>
      <w:r>
        <w:rPr>
          <w:sz w:val="20"/>
        </w:rPr>
        <w:t>Scroll to §8 Conclusion — summarise in one sentence.</w:t>
      </w:r>
    </w:p>
    <w:p>
      <w:pPr>
        <w:pStyle w:val="Heading3"/>
        <w:spacing w:before="120" w:after="80"/>
      </w:pPr>
      <w:r>
        <w:rPr>
          <w:color w:val="1A1A2E"/>
          <w:sz w:val="24"/>
        </w:rPr>
        <w:t>Key talking points — Economic Reasoning</w:t>
      </w:r>
    </w:p>
    <w:p>
      <w:pPr>
        <w:pStyle w:val="ListBullet"/>
        <w:spacing w:before="0" w:after="40"/>
        <w:ind w:left="432"/>
      </w:pPr>
      <w:r>
        <w:rPr>
          <w:b/>
          <w:sz w:val="20"/>
        </w:rPr>
        <w:t xml:space="preserve">Why Sortino for optimisation? </w:t>
      </w:r>
      <w:r>
        <w:rPr>
          <w:sz w:val="20"/>
        </w:rPr>
        <w:t>Sortino penalises only downside deviation — right for a practitioner who cares about avoiding large losses, not symmetric volatility.</w:t>
      </w:r>
    </w:p>
    <w:p>
      <w:pPr>
        <w:pStyle w:val="ListBullet"/>
        <w:spacing w:before="0" w:after="40"/>
        <w:ind w:left="432"/>
      </w:pPr>
      <w:r>
        <w:rPr>
          <w:b/>
          <w:sz w:val="20"/>
        </w:rPr>
        <w:t xml:space="preserve">IS-only grid search: </w:t>
      </w:r>
      <w:r>
        <w:rPr>
          <w:sz w:val="20"/>
        </w:rPr>
        <w:t>Grid search on 2010–2019 data only. Best parameters frozen before touching OOS1 or OOS2. This eliminates look-ahead bias.</w:t>
      </w:r>
    </w:p>
    <w:p>
      <w:pPr>
        <w:pStyle w:val="ListBullet"/>
        <w:spacing w:before="0" w:after="40"/>
        <w:ind w:left="432"/>
      </w:pPr>
      <w:r>
        <w:rPr>
          <w:b/>
          <w:sz w:val="20"/>
        </w:rPr>
        <w:t xml:space="preserve">Chosen parameters: </w:t>
      </w:r>
      <w:r>
        <w:rPr>
          <w:sz w:val="20"/>
        </w:rPr>
        <w:t>MA Cross: short=20, long=100. RSI: oversold=45, overbought=65. Donchian: entry=125, exit=100.</w:t>
      </w:r>
    </w:p>
    <w:p>
      <w:pPr>
        <w:pStyle w:val="ListBullet"/>
        <w:spacing w:before="0" w:after="40"/>
        <w:ind w:left="432"/>
      </w:pPr>
      <w:r>
        <w:rPr>
          <w:b/>
          <w:sz w:val="20"/>
        </w:rPr>
        <w:t xml:space="preserve">Deflated Sharpe Ratio: </w:t>
      </w:r>
      <w:r>
        <w:rPr>
          <w:sz w:val="20"/>
        </w:rPr>
        <w:t>DSR corrects for the number of parameter combinations tested (24/35/24). All three return DSR = 100% — genuine skill, not lucky overfitting.</w:t>
      </w:r>
    </w:p>
    <w:p>
      <w:pPr>
        <w:pStyle w:val="ListBullet"/>
        <w:spacing w:before="0" w:after="40"/>
        <w:ind w:left="432"/>
      </w:pPr>
      <w:r>
        <w:rPr>
          <w:b/>
          <w:sz w:val="20"/>
        </w:rPr>
        <w:t xml:space="preserve">Walk-forward numbers: </w:t>
      </w:r>
      <w:r>
        <w:rPr>
          <w:sz w:val="20"/>
        </w:rPr>
        <w:t>MA: IS +1.217, OOS1 +1.248, OOS2 +0.559 vs S&amp;P 500 OOS2 = -0.013. Donchian: OOS1 Sortino 1.269 — best OOS1 performer.</w:t>
      </w:r>
    </w:p>
    <w:p>
      <w:pPr>
        <w:pStyle w:val="ListBullet"/>
        <w:spacing w:before="0" w:after="40"/>
        <w:ind w:left="432"/>
      </w:pPr>
      <w:r>
        <w:rPr>
          <w:b/>
          <w:sz w:val="20"/>
        </w:rPr>
        <w:t xml:space="preserve">OOS2 stress test: </w:t>
      </w:r>
      <w:r>
        <w:rPr>
          <w:sz w:val="20"/>
        </w:rPr>
        <w:t>OOS2 (2000–2009) includes dot-com crash and GFC. All three strategies beat S&amp;P (negative Sortino) because signals moved to cash during sustained drawdowns.</w:t>
      </w:r>
    </w:p>
    <w:p>
      <w:pPr>
        <w:pStyle w:val="ListBullet"/>
        <w:spacing w:before="0" w:after="40"/>
        <w:ind w:left="432"/>
      </w:pPr>
      <w:r>
        <w:rPr>
          <w:b/>
          <w:sz w:val="20"/>
        </w:rPr>
        <w:t xml:space="preserve">1-day execution lag: </w:t>
      </w:r>
      <w:r>
        <w:rPr>
          <w:sz w:val="20"/>
        </w:rPr>
        <w:t>Signals carry 1-day lag: signal generated at close of day t earns return at t+1. No look-ahead bias by construction.</w:t>
      </w:r>
    </w:p>
    <w:tbl>
      <w:tblPr>
        <w:tblStyle w:val="TableGrid"/>
        <w:tblW w:type="auto" w:w="0"/>
        <w:tblLook w:firstColumn="1" w:firstRow="1" w:lastColumn="0" w:lastRow="0" w:noHBand="0" w:noVBand="1" w:val="04A0"/>
      </w:tblPr>
      <w:tblGrid>
        <w:gridCol w:w="9406"/>
      </w:tblGrid>
      <w:tr>
        <w:tc>
          <w:tcPr>
            <w:tcW w:type="dxa" w:w="9406"/>
            <w:shd w:val="clear" w:color="auto" w:fill="D4EDDA"/>
          </w:tcPr>
          <w:p>
            <w:r>
              <w:rPr>
                <w:b/>
                <w:color w:val="1A7A3C"/>
                <w:sz w:val="18"/>
              </w:rPr>
              <w:t xml:space="preserve">  RESULT  </w:t>
            </w:r>
            <w:r>
              <w:rPr>
                <w:sz w:val="18"/>
              </w:rPr>
              <w:t xml:space="preserve">  Key numbers: DSR = 100% for all three. OOS2 S&amp;P 500 Sortino = -0.013; all strategies positive. All three beat benchmark in OOS2 — the stress test that matters most.</w:t>
            </w:r>
          </w:p>
        </w:tc>
      </w:tr>
    </w:tbl>
    <w:p>
      <w:pPr>
        <w:spacing w:after="40"/>
      </w:pPr>
    </w:p>
    <w:p>
      <w:pPr>
        <w:spacing w:before="120" w:after="120"/>
      </w:pPr>
      <w:r>
        <w:rPr>
          <w:color w:val="CCCCCC"/>
          <w:sz w:val="14"/>
        </w:rPr>
        <w:t>──────────────────────────────────────────────────────────────────────────────────────────</w:t>
      </w:r>
    </w:p>
    <w:p>
      <w:r>
        <w:br w:type="page"/>
      </w:r>
    </w:p>
    <w:p>
      <w:pPr>
        <w:pStyle w:val="Heading1"/>
        <w:spacing w:before="120" w:after="80"/>
      </w:pPr>
      <w:r>
        <w:rPr>
          <w:color w:val="16213E"/>
          <w:sz w:val="36"/>
        </w:rPr>
        <w:t>PART 2 — assessment_notebook_group7.ipynb</w:t>
      </w:r>
    </w:p>
    <w:p>
      <w:pPr>
        <w:spacing w:before="0" w:after="60"/>
      </w:pPr>
      <w:r>
        <w:rPr>
          <w:b w:val="0"/>
          <w:i w:val="0"/>
          <w:color w:val="555555"/>
          <w:sz w:val="20"/>
        </w:rPr>
        <w:t>This is the pre-defined notebook the group fills in. It implements the three IS-optimal signals in a portfolio simulation and shows full 2000–2025 performance.</w:t>
      </w:r>
    </w:p>
    <w:p>
      <w:pPr>
        <w:spacing w:before="120" w:after="120"/>
      </w:pPr>
      <w:r>
        <w:rPr>
          <w:color w:val="CCCCCC"/>
          <w:sz w:val="14"/>
        </w:rPr>
        <w:t>──────────────────────────────────────────────────────────────────────────────────────────</w:t>
      </w:r>
    </w:p>
    <w:p>
      <w:pPr>
        <w:pStyle w:val="Heading2"/>
        <w:spacing w:before="240" w:after="80"/>
      </w:pPr>
      <w:r>
        <w:rPr>
          <w:color w:val="D62728"/>
          <w:sz w:val="28"/>
        </w:rPr>
        <w:t>§1–3  Setup · Signals · Portfolio &amp; Performance Summary</w:t>
      </w:r>
    </w:p>
    <w:tbl>
      <w:tblPr>
        <w:tblStyle w:val="TableGrid"/>
        <w:tblW w:type="auto" w:w="0"/>
        <w:tblLook w:firstColumn="1" w:firstRow="1" w:lastColumn="0" w:lastRow="0" w:noHBand="0" w:noVBand="1" w:val="04A0"/>
      </w:tblPr>
      <w:tblGrid>
        <w:gridCol w:w="9406"/>
      </w:tblGrid>
      <w:tr>
        <w:tc>
          <w:tcPr>
            <w:tcW w:type="dxa" w:w="9406"/>
            <w:shd w:val="clear" w:color="auto" w:fill="D62728"/>
            <w:vAlign w:val="center"/>
          </w:tcPr>
          <w:p>
            <w:pPr>
              <w:jc w:val="left"/>
            </w:pPr>
            <w:r>
              <w:rPr>
                <w:b/>
                <w:color w:val="FFFFFF"/>
                <w:sz w:val="20"/>
              </w:rPr>
              <w:t xml:space="preserve">  SPEAKER: Philip Boehnke (7383580)   |   ROLE: Assessment NB opener   |   ~5 min  (§1, 2, 3)</w:t>
            </w:r>
          </w:p>
        </w:tc>
      </w:tr>
    </w:tbl>
    <w:p>
      <w:pPr>
        <w:spacing w:after="40"/>
      </w:pPr>
    </w:p>
    <w:p>
      <w:pPr>
        <w:pStyle w:val="Heading3"/>
        <w:spacing w:before="120" w:after="80"/>
      </w:pPr>
      <w:r>
        <w:rPr>
          <w:color w:val="1A1A2E"/>
          <w:sz w:val="24"/>
        </w:rPr>
        <w:t>What to show on screen</w:t>
      </w:r>
    </w:p>
    <w:p>
      <w:pPr>
        <w:pStyle w:val="ListBullet"/>
        <w:spacing w:before="0" w:after="40"/>
        <w:ind w:left="432"/>
      </w:pPr>
      <w:r>
        <w:rPr>
          <w:sz w:val="20"/>
        </w:rPr>
        <w:t>Open assessment_notebook_group7.ipynb.</w:t>
      </w:r>
    </w:p>
    <w:p>
      <w:pPr>
        <w:pStyle w:val="ListBullet"/>
        <w:spacing w:before="0" w:after="40"/>
        <w:ind w:left="432"/>
      </w:pPr>
      <w:r>
        <w:rPr>
          <w:sz w:val="20"/>
        </w:rPr>
        <w:t>Scroll to §1 Setup — confirm 6,538 rows, four columns: XLF, XLB, XLK, ^GSPC.</w:t>
      </w:r>
    </w:p>
    <w:p>
      <w:pPr>
        <w:pStyle w:val="ListBullet"/>
        <w:spacing w:before="0" w:after="40"/>
        <w:ind w:left="432"/>
      </w:pPr>
      <w:r>
        <w:rPr>
          <w:sz w:val="20"/>
        </w:rPr>
        <w:t>Scroll to §2 Signals — show each signal formula markdown cell and the IS-optimal params.</w:t>
      </w:r>
    </w:p>
    <w:p>
      <w:pPr>
        <w:pStyle w:val="ListBullet"/>
        <w:spacing w:before="0" w:after="40"/>
        <w:ind w:left="432"/>
      </w:pPr>
      <w:r>
        <w:rPr>
          <w:sz w:val="20"/>
        </w:rPr>
        <w:t>Scroll to §3 — show the Performance Summary table and the 5-panel equity/signal plot.</w:t>
      </w:r>
    </w:p>
    <w:p>
      <w:pPr>
        <w:pStyle w:val="Heading3"/>
        <w:spacing w:before="120" w:after="80"/>
      </w:pPr>
      <w:r>
        <w:rPr>
          <w:color w:val="1A1A2E"/>
          <w:sz w:val="24"/>
        </w:rPr>
        <w:t>Key talking points — Economic Reasoning</w:t>
      </w:r>
    </w:p>
    <w:p>
      <w:pPr>
        <w:pStyle w:val="ListBullet"/>
        <w:spacing w:before="0" w:after="40"/>
        <w:ind w:left="432"/>
      </w:pPr>
      <w:r>
        <w:rPr>
          <w:b/>
          <w:sz w:val="20"/>
        </w:rPr>
        <w:t xml:space="preserve">Parameters are frozen: </w:t>
      </w:r>
      <w:r>
        <w:rPr>
          <w:sz w:val="20"/>
        </w:rPr>
        <w:t>Parameters come directly from the research notebook grid search — no re-optimisation here. This enforces strict IS/OOS separation.</w:t>
      </w:r>
    </w:p>
    <w:p>
      <w:pPr>
        <w:pStyle w:val="ListBullet"/>
        <w:spacing w:before="0" w:after="40"/>
        <w:ind w:left="432"/>
      </w:pPr>
      <w:r>
        <w:rPr>
          <w:b/>
          <w:sz w:val="20"/>
        </w:rPr>
        <w:t xml:space="preserve">MA Crossover economic logic: </w:t>
      </w:r>
      <w:r>
        <w:rPr>
          <w:sz w:val="20"/>
        </w:rPr>
        <w:t>MA(20) / MA(100) on XLF: the 20-day short MA is fast enough to react to a Fed pivot; the 100-day long MA filters out noise.</w:t>
      </w:r>
    </w:p>
    <w:p>
      <w:pPr>
        <w:pStyle w:val="ListBullet"/>
        <w:spacing w:before="0" w:after="40"/>
        <w:ind w:left="432"/>
      </w:pPr>
      <w:r>
        <w:rPr>
          <w:b/>
          <w:sz w:val="20"/>
        </w:rPr>
        <w:t xml:space="preserve">RSI economic logic: </w:t>
      </w:r>
      <w:r>
        <w:rPr>
          <w:sz w:val="20"/>
        </w:rPr>
        <w:t>RSI oversold=45, overbought=65 on XLB: wider thresholds capture the full amplitude of commodity demand cycles without triggering too frequently.</w:t>
      </w:r>
    </w:p>
    <w:p>
      <w:pPr>
        <w:pStyle w:val="ListBullet"/>
        <w:spacing w:before="0" w:after="40"/>
        <w:ind w:left="432"/>
      </w:pPr>
      <w:r>
        <w:rPr>
          <w:b/>
          <w:sz w:val="20"/>
        </w:rPr>
        <w:t xml:space="preserve">Donchian economic logic: </w:t>
      </w:r>
      <w:r>
        <w:rPr>
          <w:sz w:val="20"/>
        </w:rPr>
        <w:t>Donchian entry=125 days on XLK: a 125-day high breakout filters out all but the most significant technology product cycle launches. exit=100 days still cuts losses quickly.</w:t>
      </w:r>
    </w:p>
    <w:p>
      <w:pPr>
        <w:pStyle w:val="ListBullet"/>
        <w:spacing w:before="0" w:after="40"/>
        <w:ind w:left="432"/>
      </w:pPr>
      <w:r>
        <w:rPr>
          <w:b/>
          <w:sz w:val="20"/>
        </w:rPr>
        <w:t xml:space="preserve">Capital allocation: </w:t>
      </w:r>
      <w:r>
        <w:rPr>
          <w:sz w:val="20"/>
        </w:rPr>
        <w:t>33% capital per trade, equal-weight across active signals, cash when flat. This caps single-position risk and keeps the portfolio defensive.</w:t>
      </w:r>
    </w:p>
    <w:p>
      <w:pPr>
        <w:pStyle w:val="ListBullet"/>
        <w:spacing w:before="0" w:after="40"/>
        <w:ind w:left="432"/>
      </w:pPr>
      <w:r>
        <w:rPr>
          <w:b/>
          <w:sz w:val="20"/>
        </w:rPr>
        <w:t xml:space="preserve">Time in market: </w:t>
      </w:r>
      <w:r>
        <w:rPr>
          <w:sz w:val="20"/>
        </w:rPr>
        <w:t>Signal activity: XLF in market 71% of days; XLB 61%; XLK 74%. The portfolio is not always invested — cash reduces drawdown.</w:t>
      </w:r>
    </w:p>
    <w:p>
      <w:pPr>
        <w:pStyle w:val="ListBullet"/>
        <w:spacing w:before="0" w:after="40"/>
        <w:ind w:left="432"/>
      </w:pPr>
      <w:r>
        <w:rPr>
          <w:b/>
          <w:sz w:val="20"/>
        </w:rPr>
        <w:t xml:space="preserve">Full-period numbers: </w:t>
      </w:r>
      <w:r>
        <w:rPr>
          <w:sz w:val="20"/>
        </w:rPr>
        <w:t>Strategy Sortino 0.92 vs S&amp;P 0.57 over 2000–2025. Annual volatility: 9.2% strategy vs 19.4% S&amp;P — half the risk.</w:t>
      </w:r>
    </w:p>
    <w:tbl>
      <w:tblPr>
        <w:tblStyle w:val="TableGrid"/>
        <w:tblW w:type="auto" w:w="0"/>
        <w:tblLook w:firstColumn="1" w:firstRow="1" w:lastColumn="0" w:lastRow="0" w:noHBand="0" w:noVBand="1" w:val="04A0"/>
      </w:tblPr>
      <w:tblGrid>
        <w:gridCol w:w="9406"/>
      </w:tblGrid>
      <w:tr>
        <w:tc>
          <w:tcPr>
            <w:tcW w:type="dxa" w:w="9406"/>
            <w:shd w:val="clear" w:color="auto" w:fill="D4EDDA"/>
          </w:tcPr>
          <w:p>
            <w:r>
              <w:rPr>
                <w:b/>
                <w:color w:val="1A7A3C"/>
                <w:sz w:val="18"/>
              </w:rPr>
              <w:t xml:space="preserve">  RESULT  </w:t>
            </w:r>
            <w:r>
              <w:rPr>
                <w:sz w:val="18"/>
              </w:rPr>
              <w:t xml:space="preserve">  Key numbers to say aloud: 2000–2025 Sharpe 0.65 vs 0.41 S&amp;P. Max drawdown -20.0% vs -56.8% S&amp;P. Ann. volatility 9.2% vs 19.4%. 134 total trades over 25 years.</w:t>
            </w:r>
          </w:p>
        </w:tc>
      </w:tr>
    </w:tbl>
    <w:p>
      <w:pPr>
        <w:spacing w:after="40"/>
      </w:pPr>
    </w:p>
    <w:p>
      <w:pPr>
        <w:spacing w:before="120" w:after="120"/>
      </w:pPr>
      <w:r>
        <w:rPr>
          <w:color w:val="CCCCCC"/>
          <w:sz w:val="14"/>
        </w:rPr>
        <w:t>──────────────────────────────────────────────────────────────────────────────────────────</w:t>
      </w:r>
    </w:p>
    <w:p>
      <w:pPr>
        <w:pStyle w:val="Heading2"/>
        <w:spacing w:before="240" w:after="80"/>
      </w:pPr>
      <w:r>
        <w:rPr>
          <w:color w:val="9B59B6"/>
          <w:sz w:val="28"/>
        </w:rPr>
        <w:t>§4–5  Robustness · Walk-Forward Validation · Conclusion</w:t>
      </w:r>
    </w:p>
    <w:tbl>
      <w:tblPr>
        <w:tblStyle w:val="TableGrid"/>
        <w:tblW w:type="auto" w:w="0"/>
        <w:tblLook w:firstColumn="1" w:firstRow="1" w:lastColumn="0" w:lastRow="0" w:noHBand="0" w:noVBand="1" w:val="04A0"/>
      </w:tblPr>
      <w:tblGrid>
        <w:gridCol w:w="9406"/>
      </w:tblGrid>
      <w:tr>
        <w:tc>
          <w:tcPr>
            <w:tcW w:type="dxa" w:w="9406"/>
            <w:shd w:val="clear" w:color="auto" w:fill="9B59B6"/>
            <w:vAlign w:val="center"/>
          </w:tcPr>
          <w:p>
            <w:pPr>
              <w:jc w:val="left"/>
            </w:pPr>
            <w:r>
              <w:rPr>
                <w:b/>
                <w:color w:val="FFFFFF"/>
                <w:sz w:val="20"/>
              </w:rPr>
              <w:t xml:space="preserve">  SPEAKER: Walid Al-Nimah (6075417)   |   ROLE: Assessment NB closer   |   ~5 min  (§4, 5, wrap-up)</w:t>
            </w:r>
          </w:p>
        </w:tc>
      </w:tr>
    </w:tbl>
    <w:p>
      <w:pPr>
        <w:spacing w:after="40"/>
      </w:pPr>
    </w:p>
    <w:p>
      <w:pPr>
        <w:pStyle w:val="Heading3"/>
        <w:spacing w:before="120" w:after="80"/>
      </w:pPr>
      <w:r>
        <w:rPr>
          <w:color w:val="1A1A2E"/>
          <w:sz w:val="24"/>
        </w:rPr>
        <w:t>What to show on screen</w:t>
      </w:r>
    </w:p>
    <w:p>
      <w:pPr>
        <w:pStyle w:val="ListBullet"/>
        <w:spacing w:before="0" w:after="40"/>
        <w:ind w:left="432"/>
      </w:pPr>
      <w:r>
        <w:rPr>
          <w:sz w:val="20"/>
        </w:rPr>
        <w:t>Scroll to §4 Robustness — show the three IS sensitivity heatmaps.</w:t>
      </w:r>
    </w:p>
    <w:p>
      <w:pPr>
        <w:pStyle w:val="ListBullet"/>
        <w:spacing w:before="0" w:after="40"/>
        <w:ind w:left="432"/>
      </w:pPr>
      <w:r>
        <w:rPr>
          <w:sz w:val="20"/>
        </w:rPr>
        <w:t>Point to the ★ star position relative to the plateau of high Sortino values.</w:t>
      </w:r>
    </w:p>
    <w:p>
      <w:pPr>
        <w:pStyle w:val="ListBullet"/>
        <w:spacing w:before="0" w:after="40"/>
        <w:ind w:left="432"/>
      </w:pPr>
      <w:r>
        <w:rPr>
          <w:sz w:val="20"/>
        </w:rPr>
        <w:t>Scroll to §5 Walk-Forward Validation — show the three-period table.</w:t>
      </w:r>
    </w:p>
    <w:p>
      <w:pPr>
        <w:pStyle w:val="ListBullet"/>
        <w:spacing w:before="0" w:after="40"/>
        <w:ind w:left="432"/>
      </w:pPr>
      <w:r>
        <w:rPr>
          <w:sz w:val="20"/>
        </w:rPr>
        <w:t>Close with one sentence summary directed at the professor.</w:t>
      </w:r>
    </w:p>
    <w:p>
      <w:pPr>
        <w:pStyle w:val="Heading3"/>
        <w:spacing w:before="120" w:after="80"/>
      </w:pPr>
      <w:r>
        <w:rPr>
          <w:color w:val="1A1A2E"/>
          <w:sz w:val="24"/>
        </w:rPr>
        <w:t>Key talking points — Economic Reasoning</w:t>
      </w:r>
    </w:p>
    <w:p>
      <w:pPr>
        <w:pStyle w:val="ListBullet"/>
        <w:spacing w:before="0" w:after="40"/>
        <w:ind w:left="432"/>
      </w:pPr>
      <w:r>
        <w:rPr>
          <w:b/>
          <w:sz w:val="20"/>
        </w:rPr>
        <w:t xml:space="preserve">What the heatmaps prove: </w:t>
      </w:r>
      <w:r>
        <w:rPr>
          <w:sz w:val="20"/>
        </w:rPr>
        <w:t>A smooth Sortino plateau around the chosen ★ parameters means the strategy is not fragile to small parameter changes — it would work with adjacent settings too.</w:t>
      </w:r>
    </w:p>
    <w:p>
      <w:pPr>
        <w:pStyle w:val="ListBullet"/>
        <w:spacing w:before="0" w:after="40"/>
        <w:ind w:left="432"/>
      </w:pPr>
      <w:r>
        <w:rPr>
          <w:b/>
          <w:sz w:val="20"/>
        </w:rPr>
        <w:t xml:space="preserve">Spike vs plateau: </w:t>
      </w:r>
      <w:r>
        <w:rPr>
          <w:sz w:val="20"/>
        </w:rPr>
        <w:t>If the peak were a single spike, it would signal overfitting. A plateau signals a robust economic regime.</w:t>
      </w:r>
    </w:p>
    <w:p>
      <w:pPr>
        <w:pStyle w:val="ListBullet"/>
        <w:spacing w:before="0" w:after="40"/>
        <w:ind w:left="432"/>
      </w:pPr>
      <w:r>
        <w:rPr>
          <w:b/>
          <w:sz w:val="20"/>
        </w:rPr>
        <w:t xml:space="preserve">IS performance: </w:t>
      </w:r>
      <w:r>
        <w:rPr>
          <w:sz w:val="20"/>
        </w:rPr>
        <w:t>IS (2010–2019): Strategy Sortino 1.32 vs S&amp;P 1.10. Sharpe 0.94 vs 0.79. Max DD -13% vs -19.8%.</w:t>
      </w:r>
    </w:p>
    <w:p>
      <w:pPr>
        <w:pStyle w:val="ListBullet"/>
        <w:spacing w:before="0" w:after="40"/>
        <w:ind w:left="432"/>
      </w:pPr>
      <w:r>
        <w:rPr>
          <w:b/>
          <w:sz w:val="20"/>
        </w:rPr>
        <w:t xml:space="preserve">OOS1 performance: </w:t>
      </w:r>
      <w:r>
        <w:rPr>
          <w:sz w:val="20"/>
        </w:rPr>
        <w:t>OOS1 (2020–25): Sortino 1.32 vs S&amp;P 0.99 — outperformed in the most recent period including COVID crash and rate-hike cycle.</w:t>
      </w:r>
    </w:p>
    <w:p>
      <w:pPr>
        <w:pStyle w:val="ListBullet"/>
        <w:spacing w:before="0" w:after="40"/>
        <w:ind w:left="432"/>
      </w:pPr>
      <w:r>
        <w:rPr>
          <w:b/>
          <w:sz w:val="20"/>
        </w:rPr>
        <w:t xml:space="preserve">OOS2 stress test: </w:t>
      </w:r>
      <w:r>
        <w:rPr>
          <w:sz w:val="20"/>
        </w:rPr>
        <w:t>OOS2 (2000–09): Sortino 0.60 vs S&amp;P -0.01. Total return +40.2% vs -23.4%. This is the hardest test — dot-com crash + GFC — and the strategy passed.</w:t>
      </w:r>
    </w:p>
    <w:p>
      <w:pPr>
        <w:pStyle w:val="ListBullet"/>
        <w:spacing w:before="0" w:after="40"/>
        <w:ind w:left="432"/>
      </w:pPr>
      <w:r>
        <w:rPr>
          <w:b/>
          <w:sz w:val="20"/>
        </w:rPr>
        <w:t xml:space="preserve">Why did we beat OOS2? </w:t>
      </w:r>
      <w:r>
        <w:rPr>
          <w:sz w:val="20"/>
        </w:rPr>
        <w:t>The key protective mechanism: signals exit to cash when the market trends down. MA death-cross triggers cash during bear markets. Donchian exit-low does the same.</w:t>
      </w:r>
    </w:p>
    <w:p>
      <w:pPr>
        <w:pStyle w:val="ListBullet"/>
        <w:spacing w:before="0" w:after="40"/>
        <w:ind w:left="432"/>
      </w:pPr>
      <w:r>
        <w:rPr>
          <w:b/>
          <w:sz w:val="20"/>
        </w:rPr>
        <w:t xml:space="preserve">Investor value proposition: </w:t>
      </w:r>
      <w:r>
        <w:rPr>
          <w:sz w:val="20"/>
        </w:rPr>
        <w:t>A potential investor benefits from: (1) lower drawdown risk, (2) comparable or higher risk-adjusted returns, (3) crisis protection in 2000-2009.</w:t>
      </w:r>
    </w:p>
    <w:p>
      <w:pPr>
        <w:pStyle w:val="ListBullet"/>
        <w:spacing w:before="0" w:after="40"/>
        <w:ind w:left="432"/>
      </w:pPr>
      <w:r>
        <w:rPr>
          <w:b/>
          <w:sz w:val="20"/>
        </w:rPr>
        <w:t xml:space="preserve">Methodology integrity: </w:t>
      </w:r>
      <w:r>
        <w:rPr>
          <w:sz w:val="20"/>
        </w:rPr>
        <w:t>All signals lagged by one day, parameters frozen on IS data — no forward-looking information was used at any stage.</w:t>
      </w:r>
    </w:p>
    <w:tbl>
      <w:tblPr>
        <w:tblStyle w:val="TableGrid"/>
        <w:tblW w:type="auto" w:w="0"/>
        <w:tblLook w:firstColumn="1" w:firstRow="1" w:lastColumn="0" w:lastRow="0" w:noHBand="0" w:noVBand="1" w:val="04A0"/>
      </w:tblPr>
      <w:tblGrid>
        <w:gridCol w:w="9406"/>
      </w:tblGrid>
      <w:tr>
        <w:tc>
          <w:tcPr>
            <w:tcW w:type="dxa" w:w="9406"/>
            <w:shd w:val="clear" w:color="auto" w:fill="D4EDDA"/>
          </w:tcPr>
          <w:p>
            <w:r>
              <w:rPr>
                <w:b/>
                <w:color w:val="1A7A3C"/>
                <w:sz w:val="18"/>
              </w:rPr>
              <w:t xml:space="preserve">  RESULT  </w:t>
            </w:r>
            <w:r>
              <w:rPr>
                <w:sz w:val="18"/>
              </w:rPr>
              <w:t xml:space="preserve">  OOS1 Sortino 1.32 &gt; S&amp;P 0.99. OOS2 Sortino 0.60 vs S&amp;P -0.01. Strategy outperformed in BOTH out-of-sample periods. Max drawdown always below -21% vs S&amp;P peak -56.8%.</w:t>
            </w:r>
          </w:p>
        </w:tc>
      </w:tr>
    </w:tbl>
    <w:p>
      <w:pPr>
        <w:spacing w:after="40"/>
      </w:pPr>
    </w:p>
    <w:p>
      <w:pPr>
        <w:spacing w:before="120" w:after="120"/>
      </w:pPr>
      <w:r>
        <w:rPr>
          <w:color w:val="CCCCCC"/>
          <w:sz w:val="14"/>
        </w:rPr>
        <w:t>──────────────────────────────────────────────────────────────────────────────────────────</w:t>
      </w:r>
    </w:p>
    <w:p>
      <w:r>
        <w:br w:type="page"/>
      </w:r>
    </w:p>
    <w:p>
      <w:pPr>
        <w:pStyle w:val="Heading1"/>
        <w:spacing w:before="240" w:after="80"/>
      </w:pPr>
      <w:r>
        <w:rPr>
          <w:color w:val="1A1A2E"/>
          <w:sz w:val="36"/>
        </w:rPr>
        <w:t>Defense Q&amp;A — Likely Questions &amp; Suggested Answers</w:t>
      </w:r>
    </w:p>
    <w:p>
      <w:pPr>
        <w:spacing w:before="0" w:after="60"/>
      </w:pPr>
      <w:r>
        <w:rPr>
          <w:b/>
          <w:i w:val="0"/>
          <w:color w:val="C00000"/>
          <w:sz w:val="20"/>
        </w:rPr>
        <w:t>The defense is 10 minutes. Any member may be asked any question. Study all answers, not just your own section.</w:t>
      </w:r>
    </w:p>
    <w:p/>
    <w:p>
      <w:pPr>
        <w:spacing w:before="120" w:after="20"/>
      </w:pPr>
      <w:r>
        <w:rPr>
          <w:b/>
          <w:color w:val="1A1A2E"/>
          <w:sz w:val="20"/>
        </w:rPr>
        <w:t>Q:  Why did you choose XLF for MA Crossover and not XLE (Energy) which had higher Min OOS?</w:t>
      </w:r>
    </w:p>
    <w:p>
      <w:pPr>
        <w:spacing w:before="0" w:after="120"/>
        <w:ind w:left="360"/>
      </w:pPr>
      <w:r>
        <w:rPr>
          <w:color w:val="222222"/>
          <w:sz w:val="20"/>
        </w:rPr>
        <w:t>A:  ETF assignment was settled on IS Sortino and economic rationale alone, before any OOS data was examined. XLF had the highest IS Sortino (1.22) across all MA × ETF pairs on 2010–2019 data. The economic case is strong: interest rate cycles are slow and persistent — exactly what a long-window golden cross is designed to capture. XLE (Energy) is driven by oil supply shocks which are fast and non-directional, a poor fit for a trend-following signal.</w:t>
        <w:br/>
        <w:br/>
        <w:t>The Min OOS comparison shown in the research notebook §3 is a retrospective verification — produced after the ETF choices were locked — not an input to the decision. The fact that XLF's Min OOS (0.56) is actually LOWER than XLE's (0.61) is the evidence that our process was clean: someone optimising on OOS would have picked XLE, not XLF.</w:t>
      </w:r>
    </w:p>
    <w:p>
      <w:pPr>
        <w:spacing w:before="120" w:after="20"/>
      </w:pPr>
      <w:r>
        <w:rPr>
          <w:b/>
          <w:color w:val="1A1A2E"/>
          <w:sz w:val="20"/>
        </w:rPr>
        <w:t>Q:  But your research notebook §3 shows OOS numbers for all 70 pairs — so you did look at OOS. How do you claim you didn't select on it?</w:t>
      </w:r>
    </w:p>
    <w:p>
      <w:pPr>
        <w:spacing w:before="0" w:after="120"/>
        <w:ind w:left="360"/>
      </w:pPr>
      <w:r>
        <w:rPr>
          <w:color w:val="222222"/>
          <w:sz w:val="20"/>
        </w:rPr>
        <w:t>A:  Yes, the 70-pair screening table computes OOS metrics for completeness, but the SELECTION criterion printed in the code and described in the markdown is IS Sortino. The OOS columns are presented alongside to allow the reader to verify that the chosen combinations are NOT the OOS-optimal ones — a standard methodology transparency practice. If we had selected by Min OOS, the assignment table would show our picks at the top of the Min OOS ranking; instead, they sit in the middle. That is the structural proof.</w:t>
      </w:r>
    </w:p>
    <w:p>
      <w:pPr>
        <w:spacing w:before="120" w:after="20"/>
      </w:pPr>
      <w:r>
        <w:rPr>
          <w:b/>
          <w:color w:val="1A1A2E"/>
          <w:sz w:val="20"/>
        </w:rPr>
        <w:t>Q:  Why Sortino and not Sharpe for IS optimisation?</w:t>
      </w:r>
    </w:p>
    <w:p>
      <w:pPr>
        <w:spacing w:before="0" w:after="120"/>
        <w:ind w:left="360"/>
      </w:pPr>
      <w:r>
        <w:rPr>
          <w:color w:val="222222"/>
          <w:sz w:val="20"/>
        </w:rPr>
        <w:t>A:  Sortino penalises only downside deviation, not symmetric volatility. From an investor's perspective, upside variance is not a risk — only drawdowns matter. A trend-following strategy that cuts losses quickly will have low downside deviation even if its upside return distribution is fat-tailed.</w:t>
      </w:r>
    </w:p>
    <w:p>
      <w:pPr>
        <w:spacing w:before="120" w:after="20"/>
      </w:pPr>
      <w:r>
        <w:rPr>
          <w:b/>
          <w:color w:val="1A1A2E"/>
          <w:sz w:val="20"/>
        </w:rPr>
        <w:t>Q:  What is the Deflated Sharpe Ratio and why did you use it?</w:t>
      </w:r>
    </w:p>
    <w:p>
      <w:pPr>
        <w:spacing w:before="0" w:after="120"/>
        <w:ind w:left="360"/>
      </w:pPr>
      <w:r>
        <w:rPr>
          <w:color w:val="222222"/>
          <w:sz w:val="20"/>
        </w:rPr>
        <w:t>A:  The DSR, from Bailey &amp; López de Prado (2014), adjusts the IS Sharpe for the number of parameter combinations tested. With 24 MA combinations, 35 RSI combinations, and 24 Donchian combinations, there is a risk that a good IS Sharpe is just luck. DSR = 100% for all three means: even accounting for multiple testing, the observed performance is extremely unlikely to be random.</w:t>
      </w:r>
    </w:p>
    <w:p>
      <w:pPr>
        <w:spacing w:before="120" w:after="20"/>
      </w:pPr>
      <w:r>
        <w:rPr>
          <w:b/>
          <w:color w:val="1A1A2E"/>
          <w:sz w:val="20"/>
        </w:rPr>
        <w:t>Q:  Why is OOS1 Total Return (65.3%) lower than S&amp;P (111.7%) even though Sortino is higher?</w:t>
      </w:r>
    </w:p>
    <w:p>
      <w:pPr>
        <w:spacing w:before="0" w:after="120"/>
        <w:ind w:left="360"/>
      </w:pPr>
      <w:r>
        <w:rPr>
          <w:color w:val="222222"/>
          <w:sz w:val="20"/>
        </w:rPr>
        <w:t>A:  The strategy holds cash when no signal is active. XLF is in market 71% of days, XLB 61%, XLK 74%. The S&amp;P 500 is always 100% invested and benefitted from the strong 2020–2025 bull market. We sacrifice absolute return in exchange for dramatically lower drawdown (-13% vs -33.9%) and higher risk-adjusted return (Sortino 1.32 vs 0.99). A risk-averse investor would prefer this trade-off.</w:t>
      </w:r>
    </w:p>
    <w:p>
      <w:pPr>
        <w:spacing w:before="120" w:after="20"/>
      </w:pPr>
      <w:r>
        <w:rPr>
          <w:b/>
          <w:color w:val="1A1A2E"/>
          <w:sz w:val="20"/>
        </w:rPr>
        <w:t>Q:  Why did you use a 1-day execution lag?</w:t>
      </w:r>
    </w:p>
    <w:p>
      <w:pPr>
        <w:spacing w:before="0" w:after="120"/>
        <w:ind w:left="360"/>
      </w:pPr>
      <w:r>
        <w:rPr>
          <w:color w:val="222222"/>
          <w:sz w:val="20"/>
        </w:rPr>
        <w:t>A:  A signal generated at the close of day t can only be acted on at the open of day t+1 in practice — you cannot trade instantaneously on your own signal. Implementing the lag means our backtest returns are achievable; without it, we would have look-ahead bias.</w:t>
      </w:r>
    </w:p>
    <w:p>
      <w:pPr>
        <w:spacing w:before="120" w:after="20"/>
      </w:pPr>
      <w:r>
        <w:rPr>
          <w:b/>
          <w:color w:val="1A1A2E"/>
          <w:sz w:val="20"/>
        </w:rPr>
        <w:t>Q:  How does the portfolio allocation work?</w:t>
      </w:r>
    </w:p>
    <w:p>
      <w:pPr>
        <w:spacing w:before="0" w:after="120"/>
        <w:ind w:left="360"/>
      </w:pPr>
      <w:r>
        <w:rPr>
          <w:color w:val="222222"/>
          <w:sz w:val="20"/>
        </w:rPr>
        <w:t>A:  Each new signal entry uses 33% of the current cash balance. This means the maximum theoretical exposure is 99% invested (all three signals simultaneously open). In practice the system stays defensive because signals are not always on simultaneously. Positions are closed when the exit condition triggers, returning capital to cash.</w:t>
      </w:r>
    </w:p>
    <w:p>
      <w:pPr>
        <w:spacing w:before="120" w:after="20"/>
      </w:pPr>
      <w:r>
        <w:rPr>
          <w:b/>
          <w:color w:val="1A1A2E"/>
          <w:sz w:val="20"/>
        </w:rPr>
        <w:t>Q:  Why ETFs and not individual stocks?</w:t>
      </w:r>
    </w:p>
    <w:p>
      <w:pPr>
        <w:spacing w:before="0" w:after="120"/>
        <w:ind w:left="360"/>
      </w:pPr>
      <w:r>
        <w:rPr>
          <w:color w:val="222222"/>
          <w:sz w:val="20"/>
        </w:rPr>
        <w:t>A:  Single stocks carry idiosyncratic risk — a CEO scandal or earnings miss can wipe out a position regardless of the signal. Sector ETFs hold 20–70 stocks, diversifying idiosyncratic risk so that only systematic sector-level dynamics remain, which our signals are designed to capture.</w:t>
      </w:r>
    </w:p>
    <w:p>
      <w:pPr>
        <w:spacing w:before="120" w:after="20"/>
      </w:pPr>
      <w:r>
        <w:rPr>
          <w:b/>
          <w:color w:val="1A1A2E"/>
          <w:sz w:val="20"/>
        </w:rPr>
        <w:t>Q:  What would happen with transaction costs?</w:t>
      </w:r>
    </w:p>
    <w:p>
      <w:pPr>
        <w:spacing w:before="0" w:after="120"/>
        <w:ind w:left="360"/>
      </w:pPr>
      <w:r>
        <w:rPr>
          <w:color w:val="222222"/>
          <w:sz w:val="20"/>
        </w:rPr>
        <w:t>A:  Gross returns are reported as per the class specification. With 134 trades over 25 years that is roughly 5–6 round trips per year across three ETFs. At typical ETF transaction costs of 1–5 basis points per trade, the impact would be very small — well under 0.5% of annualised return.</w:t>
      </w:r>
    </w:p>
    <w:p>
      <w:pPr>
        <w:spacing w:before="120" w:after="20"/>
      </w:pPr>
      <w:r>
        <w:rPr>
          <w:b/>
          <w:color w:val="1A1A2E"/>
          <w:sz w:val="20"/>
        </w:rPr>
        <w:t>Q:  Why is OOS2 (2000–2009) better than OOS1 (2020–2025) for the RSI strategy?</w:t>
      </w:r>
    </w:p>
    <w:p>
      <w:pPr>
        <w:spacing w:before="0" w:after="120"/>
        <w:ind w:left="360"/>
      </w:pPr>
      <w:r>
        <w:rPr>
          <w:color w:val="222222"/>
          <w:sz w:val="20"/>
        </w:rPr>
        <w:t>A:  The 2000–2009 decade contained two severe bear markets (dot-com + GFC) — the S&amp;P fell -56.8% peak to trough. RSI mean-reversion benefits from large price swings: extreme oversold readings (RSI &lt; 45) were common and produced strong bounces. In OOS1, the market mostly trended upward with shallower corrections, giving fewer RSI entry opportunities and a lower Sortino of 0.79.</w:t>
      </w:r>
    </w:p>
    <w:p>
      <w:pPr>
        <w:spacing w:before="120" w:after="20"/>
      </w:pPr>
      <w:r>
        <w:rPr>
          <w:b/>
          <w:color w:val="1A1A2E"/>
          <w:sz w:val="20"/>
        </w:rPr>
        <w:t>Q:  Could the module.py functions just use pandas rolling() or numpy convolve()?</w:t>
      </w:r>
    </w:p>
    <w:p>
      <w:pPr>
        <w:spacing w:before="0" w:after="120"/>
        <w:ind w:left="360"/>
      </w:pPr>
      <w:r>
        <w:rPr>
          <w:color w:val="222222"/>
          <w:sz w:val="20"/>
        </w:rPr>
        <w:t>A:  The assessment specification requires NumPy-only implementations — no built-in higher-level library functions. Our moving_average uses a cumsum trick, rolling_std uses the Var = E[X²] - (E[X])² identity, and RSI uses Wilder's EMA loop. These are transparent about every computational step.</w:t>
      </w:r>
    </w:p>
    <w:p>
      <w:pPr>
        <w:spacing w:before="120" w:after="120"/>
      </w:pPr>
      <w:r>
        <w:rPr>
          <w:color w:val="CCCCCC"/>
          <w:sz w:val="14"/>
        </w:rPr>
        <w:t>──────────────────────────────────────────────────────────────────────────────────────────</w:t>
      </w:r>
    </w:p>
    <w:p>
      <w:r>
        <w:br w:type="page"/>
      </w:r>
    </w:p>
    <w:p>
      <w:pPr>
        <w:pStyle w:val="Heading1"/>
        <w:spacing w:before="240" w:after="80"/>
      </w:pPr>
      <w:r>
        <w:rPr>
          <w:color w:val="1A1A2E"/>
          <w:sz w:val="36"/>
        </w:rPr>
        <w:t>Quick-Reference Numbers  (memorise before the presentation)</w:t>
      </w:r>
    </w:p>
    <w:p>
      <w:pPr>
        <w:pStyle w:val="Heading2"/>
        <w:spacing w:before="240" w:after="80"/>
      </w:pPr>
      <w:r>
        <w:rPr>
          <w:color w:val="D62728"/>
          <w:sz w:val="28"/>
        </w:rPr>
        <w:t>Full Period (2000–2025) — Assessment Notebook §3</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Metric</w:t>
            </w:r>
          </w:p>
        </w:tc>
        <w:tc>
          <w:tcPr>
            <w:tcW w:type="dxa" w:w="3135"/>
            <w:shd w:val="clear" w:color="auto" w:fill="1A1A2E"/>
          </w:tcPr>
          <w:p>
            <w:r>
              <w:rPr>
                <w:b/>
                <w:color w:val="FFFFFF"/>
                <w:sz w:val="20"/>
              </w:rPr>
              <w:t>Strategy</w:t>
            </w:r>
          </w:p>
        </w:tc>
        <w:tc>
          <w:tcPr>
            <w:tcW w:type="dxa" w:w="3135"/>
            <w:shd w:val="clear" w:color="auto" w:fill="1A1A2E"/>
          </w:tcPr>
          <w:p>
            <w:r>
              <w:rPr>
                <w:b/>
                <w:color w:val="FFFFFF"/>
                <w:sz w:val="20"/>
              </w:rPr>
              <w:t>S&amp;P 500</w:t>
            </w:r>
          </w:p>
        </w:tc>
      </w:tr>
      <w:tr>
        <w:tc>
          <w:tcPr>
            <w:tcW w:type="dxa" w:w="3135"/>
          </w:tcPr>
          <w:p>
            <w:r>
              <w:rPr>
                <w:sz w:val="20"/>
              </w:rPr>
              <w:t>Total Return</w:t>
            </w:r>
          </w:p>
        </w:tc>
        <w:tc>
          <w:tcPr>
            <w:tcW w:type="dxa" w:w="3135"/>
          </w:tcPr>
          <w:p>
            <w:r>
              <w:rPr>
                <w:sz w:val="20"/>
              </w:rPr>
              <w:t>324.3%</w:t>
            </w:r>
          </w:p>
        </w:tc>
        <w:tc>
          <w:tcPr>
            <w:tcW w:type="dxa" w:w="3135"/>
          </w:tcPr>
          <w:p>
            <w:r>
              <w:rPr>
                <w:sz w:val="20"/>
              </w:rPr>
              <w:t>373.9%</w:t>
            </w:r>
          </w:p>
        </w:tc>
      </w:tr>
      <w:tr>
        <w:tc>
          <w:tcPr>
            <w:tcW w:type="dxa" w:w="3135"/>
          </w:tcPr>
          <w:p>
            <w:r>
              <w:rPr>
                <w:sz w:val="20"/>
              </w:rPr>
              <w:t>CAGR</w:t>
            </w:r>
          </w:p>
        </w:tc>
        <w:tc>
          <w:tcPr>
            <w:tcW w:type="dxa" w:w="3135"/>
          </w:tcPr>
          <w:p>
            <w:r>
              <w:rPr>
                <w:sz w:val="20"/>
              </w:rPr>
              <w:t>5.7%</w:t>
            </w:r>
          </w:p>
        </w:tc>
        <w:tc>
          <w:tcPr>
            <w:tcW w:type="dxa" w:w="3135"/>
          </w:tcPr>
          <w:p>
            <w:r>
              <w:rPr>
                <w:sz w:val="20"/>
              </w:rPr>
              <w:t>6.2%</w:t>
            </w:r>
          </w:p>
        </w:tc>
      </w:tr>
      <w:tr>
        <w:tc>
          <w:tcPr>
            <w:tcW w:type="dxa" w:w="3135"/>
          </w:tcPr>
          <w:p>
            <w:r>
              <w:rPr>
                <w:sz w:val="20"/>
              </w:rPr>
              <w:t>Ann. Volatility</w:t>
            </w:r>
          </w:p>
        </w:tc>
        <w:tc>
          <w:tcPr>
            <w:tcW w:type="dxa" w:w="3135"/>
          </w:tcPr>
          <w:p>
            <w:r>
              <w:rPr>
                <w:sz w:val="20"/>
              </w:rPr>
              <w:t>9.2%</w:t>
            </w:r>
          </w:p>
        </w:tc>
        <w:tc>
          <w:tcPr>
            <w:tcW w:type="dxa" w:w="3135"/>
          </w:tcPr>
          <w:p>
            <w:r>
              <w:rPr>
                <w:sz w:val="20"/>
              </w:rPr>
              <w:t>19.4%</w:t>
            </w:r>
          </w:p>
        </w:tc>
      </w:tr>
      <w:tr>
        <w:tc>
          <w:tcPr>
            <w:tcW w:type="dxa" w:w="3135"/>
          </w:tcPr>
          <w:p>
            <w:r>
              <w:rPr>
                <w:sz w:val="20"/>
              </w:rPr>
              <w:t>Sharpe Ratio</w:t>
            </w:r>
          </w:p>
        </w:tc>
        <w:tc>
          <w:tcPr>
            <w:tcW w:type="dxa" w:w="3135"/>
          </w:tcPr>
          <w:p>
            <w:r>
              <w:rPr>
                <w:sz w:val="20"/>
              </w:rPr>
              <w:t>0.65</w:t>
            </w:r>
          </w:p>
        </w:tc>
        <w:tc>
          <w:tcPr>
            <w:tcW w:type="dxa" w:w="3135"/>
          </w:tcPr>
          <w:p>
            <w:r>
              <w:rPr>
                <w:sz w:val="20"/>
              </w:rPr>
              <w:t>0.41</w:t>
            </w:r>
          </w:p>
        </w:tc>
      </w:tr>
      <w:tr>
        <w:tc>
          <w:tcPr>
            <w:tcW w:type="dxa" w:w="3135"/>
          </w:tcPr>
          <w:p>
            <w:r>
              <w:rPr>
                <w:sz w:val="20"/>
              </w:rPr>
              <w:t>Sortino Ratio</w:t>
            </w:r>
          </w:p>
        </w:tc>
        <w:tc>
          <w:tcPr>
            <w:tcW w:type="dxa" w:w="3135"/>
          </w:tcPr>
          <w:p>
            <w:r>
              <w:rPr>
                <w:sz w:val="20"/>
              </w:rPr>
              <w:t>0.92</w:t>
            </w:r>
          </w:p>
        </w:tc>
        <w:tc>
          <w:tcPr>
            <w:tcW w:type="dxa" w:w="3135"/>
          </w:tcPr>
          <w:p>
            <w:r>
              <w:rPr>
                <w:sz w:val="20"/>
              </w:rPr>
              <w:t>0.57</w:t>
            </w:r>
          </w:p>
        </w:tc>
      </w:tr>
      <w:tr>
        <w:tc>
          <w:tcPr>
            <w:tcW w:type="dxa" w:w="3135"/>
          </w:tcPr>
          <w:p>
            <w:r>
              <w:rPr>
                <w:sz w:val="20"/>
              </w:rPr>
              <w:t>Calmar Ratio</w:t>
            </w:r>
          </w:p>
        </w:tc>
        <w:tc>
          <w:tcPr>
            <w:tcW w:type="dxa" w:w="3135"/>
          </w:tcPr>
          <w:p>
            <w:r>
              <w:rPr>
                <w:sz w:val="20"/>
              </w:rPr>
              <w:t>0.29</w:t>
            </w:r>
          </w:p>
        </w:tc>
        <w:tc>
          <w:tcPr>
            <w:tcW w:type="dxa" w:w="3135"/>
          </w:tcPr>
          <w:p>
            <w:r>
              <w:rPr>
                <w:sz w:val="20"/>
              </w:rPr>
              <w:t>0.11</w:t>
            </w:r>
          </w:p>
        </w:tc>
      </w:tr>
      <w:tr>
        <w:tc>
          <w:tcPr>
            <w:tcW w:type="dxa" w:w="3135"/>
          </w:tcPr>
          <w:p>
            <w:r>
              <w:rPr>
                <w:sz w:val="20"/>
              </w:rPr>
              <w:t>Max Drawdown</w:t>
            </w:r>
          </w:p>
        </w:tc>
        <w:tc>
          <w:tcPr>
            <w:tcW w:type="dxa" w:w="3135"/>
          </w:tcPr>
          <w:p>
            <w:r>
              <w:rPr>
                <w:sz w:val="20"/>
              </w:rPr>
              <w:t>-20.0%</w:t>
            </w:r>
          </w:p>
        </w:tc>
        <w:tc>
          <w:tcPr>
            <w:tcW w:type="dxa" w:w="3135"/>
          </w:tcPr>
          <w:p>
            <w:r>
              <w:rPr>
                <w:sz w:val="20"/>
              </w:rPr>
              <w:t>-56.8%</w:t>
            </w:r>
          </w:p>
        </w:tc>
      </w:tr>
      <w:tr>
        <w:tc>
          <w:tcPr>
            <w:tcW w:type="dxa" w:w="3135"/>
          </w:tcPr>
          <w:p>
            <w:r>
              <w:rPr>
                <w:sz w:val="20"/>
              </w:rPr>
              <w:t># Trades</w:t>
            </w:r>
          </w:p>
        </w:tc>
        <w:tc>
          <w:tcPr>
            <w:tcW w:type="dxa" w:w="3135"/>
          </w:tcPr>
          <w:p>
            <w:r>
              <w:rPr>
                <w:sz w:val="20"/>
              </w:rPr>
              <w:t>134</w:t>
            </w:r>
          </w:p>
        </w:tc>
        <w:tc>
          <w:tcPr>
            <w:tcW w:type="dxa" w:w="3135"/>
          </w:tcPr>
          <w:p>
            <w:r>
              <w:rPr>
                <w:sz w:val="20"/>
              </w:rPr>
              <w:t>n/a</w:t>
            </w:r>
          </w:p>
        </w:tc>
      </w:tr>
    </w:tbl>
    <w:p/>
    <w:p>
      <w:pPr>
        <w:pStyle w:val="Heading2"/>
        <w:spacing w:before="240" w:after="80"/>
      </w:pPr>
      <w:r>
        <w:rPr>
          <w:color w:val="2CA02C"/>
          <w:sz w:val="28"/>
        </w:rPr>
        <w:t>Walk-Forward Results — Research Notebook §5 &amp; Assessment Notebook §5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r>
              <w:rPr>
                <w:b/>
                <w:color w:val="FFFFFF"/>
                <w:sz w:val="18"/>
              </w:rPr>
              <w:t>Period</w:t>
            </w:r>
          </w:p>
        </w:tc>
        <w:tc>
          <w:tcPr>
            <w:tcW w:type="dxa" w:w="1881"/>
            <w:shd w:val="clear" w:color="auto" w:fill="1A1A2E"/>
          </w:tcPr>
          <w:p>
            <w:r>
              <w:rPr>
                <w:b/>
                <w:color w:val="FFFFFF"/>
                <w:sz w:val="18"/>
              </w:rPr>
              <w:t>Strategy Sortino</w:t>
            </w:r>
          </w:p>
        </w:tc>
        <w:tc>
          <w:tcPr>
            <w:tcW w:type="dxa" w:w="1881"/>
            <w:shd w:val="clear" w:color="auto" w:fill="1A1A2E"/>
          </w:tcPr>
          <w:p>
            <w:r>
              <w:rPr>
                <w:b/>
                <w:color w:val="FFFFFF"/>
                <w:sz w:val="18"/>
              </w:rPr>
              <w:t>S&amp;P Sortino</w:t>
            </w:r>
          </w:p>
        </w:tc>
        <w:tc>
          <w:tcPr>
            <w:tcW w:type="dxa" w:w="1881"/>
            <w:shd w:val="clear" w:color="auto" w:fill="1A1A2E"/>
          </w:tcPr>
          <w:p>
            <w:r>
              <w:rPr>
                <w:b/>
                <w:color w:val="FFFFFF"/>
                <w:sz w:val="18"/>
              </w:rPr>
              <w:t>Strategy MaxDD</w:t>
            </w:r>
          </w:p>
        </w:tc>
        <w:tc>
          <w:tcPr>
            <w:tcW w:type="dxa" w:w="1881"/>
            <w:shd w:val="clear" w:color="auto" w:fill="1A1A2E"/>
          </w:tcPr>
          <w:p>
            <w:r>
              <w:rPr>
                <w:b/>
                <w:color w:val="FFFFFF"/>
                <w:sz w:val="18"/>
              </w:rPr>
              <w:t>S&amp;P MaxDD</w:t>
            </w:r>
          </w:p>
        </w:tc>
      </w:tr>
      <w:tr>
        <w:tc>
          <w:tcPr>
            <w:tcW w:type="dxa" w:w="1881"/>
          </w:tcPr>
          <w:p>
            <w:r>
              <w:rPr>
                <w:sz w:val="20"/>
              </w:rPr>
              <w:t>IS 2010–2019</w:t>
            </w:r>
          </w:p>
        </w:tc>
        <w:tc>
          <w:tcPr>
            <w:tcW w:type="dxa" w:w="1881"/>
          </w:tcPr>
          <w:p>
            <w:r>
              <w:rPr>
                <w:color w:val="1A7A3C"/>
                <w:sz w:val="20"/>
              </w:rPr>
              <w:t>1.32</w:t>
            </w:r>
          </w:p>
        </w:tc>
        <w:tc>
          <w:tcPr>
            <w:tcW w:type="dxa" w:w="1881"/>
          </w:tcPr>
          <w:p>
            <w:r>
              <w:rPr>
                <w:sz w:val="20"/>
              </w:rPr>
              <w:t>1.10</w:t>
            </w:r>
          </w:p>
        </w:tc>
        <w:tc>
          <w:tcPr>
            <w:tcW w:type="dxa" w:w="1881"/>
          </w:tcPr>
          <w:p>
            <w:r>
              <w:rPr>
                <w:sz w:val="20"/>
              </w:rPr>
              <w:t>-13.0%</w:t>
            </w:r>
          </w:p>
        </w:tc>
        <w:tc>
          <w:tcPr>
            <w:tcW w:type="dxa" w:w="1881"/>
          </w:tcPr>
          <w:p>
            <w:r>
              <w:rPr>
                <w:sz w:val="20"/>
              </w:rPr>
              <w:t>-19.8%</w:t>
            </w:r>
          </w:p>
        </w:tc>
      </w:tr>
      <w:tr>
        <w:tc>
          <w:tcPr>
            <w:tcW w:type="dxa" w:w="1881"/>
          </w:tcPr>
          <w:p>
            <w:r>
              <w:rPr>
                <w:sz w:val="20"/>
              </w:rPr>
              <w:t>OOS1 2020–25</w:t>
            </w:r>
          </w:p>
        </w:tc>
        <w:tc>
          <w:tcPr>
            <w:tcW w:type="dxa" w:w="1881"/>
          </w:tcPr>
          <w:p>
            <w:r>
              <w:rPr>
                <w:color w:val="1A7A3C"/>
                <w:sz w:val="20"/>
              </w:rPr>
              <w:t>1.32</w:t>
            </w:r>
          </w:p>
        </w:tc>
        <w:tc>
          <w:tcPr>
            <w:tcW w:type="dxa" w:w="1881"/>
          </w:tcPr>
          <w:p>
            <w:r>
              <w:rPr>
                <w:sz w:val="20"/>
              </w:rPr>
              <w:t>0.99</w:t>
            </w:r>
          </w:p>
        </w:tc>
        <w:tc>
          <w:tcPr>
            <w:tcW w:type="dxa" w:w="1881"/>
          </w:tcPr>
          <w:p>
            <w:r>
              <w:rPr>
                <w:sz w:val="20"/>
              </w:rPr>
              <w:t>-13.0%</w:t>
            </w:r>
          </w:p>
        </w:tc>
        <w:tc>
          <w:tcPr>
            <w:tcW w:type="dxa" w:w="1881"/>
          </w:tcPr>
          <w:p>
            <w:r>
              <w:rPr>
                <w:sz w:val="20"/>
              </w:rPr>
              <w:t>-33.9%</w:t>
            </w:r>
          </w:p>
        </w:tc>
      </w:tr>
      <w:tr>
        <w:tc>
          <w:tcPr>
            <w:tcW w:type="dxa" w:w="1881"/>
          </w:tcPr>
          <w:p>
            <w:r>
              <w:rPr>
                <w:sz w:val="20"/>
              </w:rPr>
              <w:t>OOS2 2000–09</w:t>
            </w:r>
          </w:p>
        </w:tc>
        <w:tc>
          <w:tcPr>
            <w:tcW w:type="dxa" w:w="1881"/>
          </w:tcPr>
          <w:p>
            <w:r>
              <w:rPr>
                <w:sz w:val="20"/>
              </w:rPr>
              <w:t>0.60</w:t>
            </w:r>
          </w:p>
        </w:tc>
        <w:tc>
          <w:tcPr>
            <w:tcW w:type="dxa" w:w="1881"/>
          </w:tcPr>
          <w:p>
            <w:r>
              <w:rPr>
                <w:color w:val="C00000"/>
                <w:sz w:val="20"/>
              </w:rPr>
              <w:t>-0.01</w:t>
            </w:r>
          </w:p>
        </w:tc>
        <w:tc>
          <w:tcPr>
            <w:tcW w:type="dxa" w:w="1881"/>
          </w:tcPr>
          <w:p>
            <w:r>
              <w:rPr>
                <w:sz w:val="20"/>
              </w:rPr>
              <w:t>-20.0%</w:t>
            </w:r>
          </w:p>
        </w:tc>
        <w:tc>
          <w:tcPr>
            <w:tcW w:type="dxa" w:w="1881"/>
          </w:tcPr>
          <w:p>
            <w:r>
              <w:rPr>
                <w:sz w:val="20"/>
              </w:rPr>
              <w:t>-56.8%</w:t>
            </w:r>
          </w:p>
        </w:tc>
      </w:tr>
    </w:tbl>
    <w:p/>
    <w:p>
      <w:pPr>
        <w:pStyle w:val="Heading2"/>
        <w:spacing w:before="240" w:after="80"/>
      </w:pPr>
      <w:r>
        <w:rPr>
          <w:color w:val="1F77B4"/>
          <w:sz w:val="28"/>
        </w:rPr>
        <w:t>IS Sortino by Signal–ETF Pair (Research Notebook §3 Screening)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A1A2E"/>
          </w:tcPr>
          <w:p>
            <w:r>
              <w:rPr>
                <w:b/>
                <w:color w:val="FFFFFF"/>
                <w:sz w:val="18"/>
              </w:rPr>
              <w:t>Signal</w:t>
            </w:r>
          </w:p>
        </w:tc>
        <w:tc>
          <w:tcPr>
            <w:tcW w:type="dxa" w:w="1568"/>
            <w:shd w:val="clear" w:color="auto" w:fill="1A1A2E"/>
          </w:tcPr>
          <w:p>
            <w:r>
              <w:rPr>
                <w:b/>
                <w:color w:val="FFFFFF"/>
                <w:sz w:val="18"/>
              </w:rPr>
              <w:t>ETF</w:t>
            </w:r>
          </w:p>
        </w:tc>
        <w:tc>
          <w:tcPr>
            <w:tcW w:type="dxa" w:w="1568"/>
            <w:shd w:val="clear" w:color="auto" w:fill="1A1A2E"/>
          </w:tcPr>
          <w:p>
            <w:r>
              <w:rPr>
                <w:b/>
                <w:color w:val="FFFFFF"/>
                <w:sz w:val="18"/>
              </w:rPr>
              <w:t>IS Sortino</w:t>
            </w:r>
          </w:p>
        </w:tc>
        <w:tc>
          <w:tcPr>
            <w:tcW w:type="dxa" w:w="1568"/>
            <w:shd w:val="clear" w:color="auto" w:fill="1A1A2E"/>
          </w:tcPr>
          <w:p>
            <w:r>
              <w:rPr>
                <w:b/>
                <w:color w:val="FFFFFF"/>
                <w:sz w:val="18"/>
              </w:rPr>
              <w:t>OOS1 Sortino</w:t>
            </w:r>
          </w:p>
        </w:tc>
        <w:tc>
          <w:tcPr>
            <w:tcW w:type="dxa" w:w="1568"/>
            <w:shd w:val="clear" w:color="auto" w:fill="1A1A2E"/>
          </w:tcPr>
          <w:p>
            <w:r>
              <w:rPr>
                <w:b/>
                <w:color w:val="FFFFFF"/>
                <w:sz w:val="18"/>
              </w:rPr>
              <w:t>OOS2 Sortino</w:t>
            </w:r>
          </w:p>
        </w:tc>
        <w:tc>
          <w:tcPr>
            <w:tcW w:type="dxa" w:w="1568"/>
            <w:shd w:val="clear" w:color="auto" w:fill="1A1A2E"/>
          </w:tcPr>
          <w:p>
            <w:r>
              <w:rPr>
                <w:b/>
                <w:color w:val="FFFFFF"/>
                <w:sz w:val="18"/>
              </w:rPr>
              <w:t>Chosen?</w:t>
            </w:r>
          </w:p>
        </w:tc>
      </w:tr>
      <w:tr>
        <w:tc>
          <w:tcPr>
            <w:tcW w:type="dxa" w:w="1568"/>
          </w:tcPr>
          <w:p>
            <w:r>
              <w:rPr>
                <w:sz w:val="18"/>
              </w:rPr>
              <w:t>MA Crossover</w:t>
            </w:r>
          </w:p>
        </w:tc>
        <w:tc>
          <w:tcPr>
            <w:tcW w:type="dxa" w:w="1568"/>
          </w:tcPr>
          <w:p>
            <w:r>
              <w:rPr>
                <w:sz w:val="18"/>
              </w:rPr>
              <w:t>XLF</w:t>
            </w:r>
          </w:p>
        </w:tc>
        <w:tc>
          <w:tcPr>
            <w:tcW w:type="dxa" w:w="1568"/>
          </w:tcPr>
          <w:p>
            <w:r>
              <w:rPr>
                <w:sz w:val="18"/>
              </w:rPr>
              <w:t>1.22</w:t>
            </w:r>
          </w:p>
        </w:tc>
        <w:tc>
          <w:tcPr>
            <w:tcW w:type="dxa" w:w="1568"/>
          </w:tcPr>
          <w:p>
            <w:r>
              <w:rPr>
                <w:sz w:val="18"/>
              </w:rPr>
              <w:t>1.248</w:t>
            </w:r>
          </w:p>
        </w:tc>
        <w:tc>
          <w:tcPr>
            <w:tcW w:type="dxa" w:w="1568"/>
          </w:tcPr>
          <w:p>
            <w:r>
              <w:rPr>
                <w:sz w:val="18"/>
              </w:rPr>
              <w:t>0.559</w:t>
            </w:r>
          </w:p>
        </w:tc>
        <w:tc>
          <w:tcPr>
            <w:tcW w:type="dxa" w:w="1568"/>
          </w:tcPr>
          <w:p>
            <w:r>
              <w:rPr>
                <w:b/>
                <w:color w:val="1A7A3C"/>
                <w:sz w:val="18"/>
              </w:rPr>
              <w:t>YES ★</w:t>
            </w:r>
          </w:p>
        </w:tc>
      </w:tr>
      <w:tr>
        <w:tc>
          <w:tcPr>
            <w:tcW w:type="dxa" w:w="1568"/>
          </w:tcPr>
          <w:p>
            <w:r>
              <w:rPr>
                <w:sz w:val="18"/>
              </w:rPr>
              <w:t>RSI</w:t>
            </w:r>
          </w:p>
        </w:tc>
        <w:tc>
          <w:tcPr>
            <w:tcW w:type="dxa" w:w="1568"/>
          </w:tcPr>
          <w:p>
            <w:r>
              <w:rPr>
                <w:sz w:val="18"/>
              </w:rPr>
              <w:t>XLB</w:t>
            </w:r>
          </w:p>
        </w:tc>
        <w:tc>
          <w:tcPr>
            <w:tcW w:type="dxa" w:w="1568"/>
          </w:tcPr>
          <w:p>
            <w:r>
              <w:rPr>
                <w:sz w:val="18"/>
              </w:rPr>
              <w:t>1.03</w:t>
            </w:r>
          </w:p>
        </w:tc>
        <w:tc>
          <w:tcPr>
            <w:tcW w:type="dxa" w:w="1568"/>
          </w:tcPr>
          <w:p>
            <w:r>
              <w:rPr>
                <w:sz w:val="18"/>
              </w:rPr>
              <w:t>0.787</w:t>
            </w:r>
          </w:p>
        </w:tc>
        <w:tc>
          <w:tcPr>
            <w:tcW w:type="dxa" w:w="1568"/>
          </w:tcPr>
          <w:p>
            <w:r>
              <w:rPr>
                <w:sz w:val="18"/>
              </w:rPr>
              <w:t>0.557</w:t>
            </w:r>
          </w:p>
        </w:tc>
        <w:tc>
          <w:tcPr>
            <w:tcW w:type="dxa" w:w="1568"/>
          </w:tcPr>
          <w:p>
            <w:r>
              <w:rPr>
                <w:b/>
                <w:color w:val="1A7A3C"/>
                <w:sz w:val="18"/>
              </w:rPr>
              <w:t>YES ★</w:t>
            </w:r>
          </w:p>
        </w:tc>
      </w:tr>
      <w:tr>
        <w:tc>
          <w:tcPr>
            <w:tcW w:type="dxa" w:w="1568"/>
          </w:tcPr>
          <w:p>
            <w:r>
              <w:rPr>
                <w:sz w:val="18"/>
              </w:rPr>
              <w:t>Donchian</w:t>
            </w:r>
          </w:p>
        </w:tc>
        <w:tc>
          <w:tcPr>
            <w:tcW w:type="dxa" w:w="1568"/>
          </w:tcPr>
          <w:p>
            <w:r>
              <w:rPr>
                <w:sz w:val="18"/>
              </w:rPr>
              <w:t>XLK</w:t>
            </w:r>
          </w:p>
        </w:tc>
        <w:tc>
          <w:tcPr>
            <w:tcW w:type="dxa" w:w="1568"/>
          </w:tcPr>
          <w:p>
            <w:r>
              <w:rPr>
                <w:sz w:val="18"/>
              </w:rPr>
              <w:t>1.07</w:t>
            </w:r>
          </w:p>
        </w:tc>
        <w:tc>
          <w:tcPr>
            <w:tcW w:type="dxa" w:w="1568"/>
          </w:tcPr>
          <w:p>
            <w:r>
              <w:rPr>
                <w:sz w:val="18"/>
              </w:rPr>
              <w:t>1.269</w:t>
            </w:r>
          </w:p>
        </w:tc>
        <w:tc>
          <w:tcPr>
            <w:tcW w:type="dxa" w:w="1568"/>
          </w:tcPr>
          <w:p>
            <w:r>
              <w:rPr>
                <w:sz w:val="18"/>
              </w:rPr>
              <w:t>0.593</w:t>
            </w:r>
          </w:p>
        </w:tc>
        <w:tc>
          <w:tcPr>
            <w:tcW w:type="dxa" w:w="1568"/>
          </w:tcPr>
          <w:p>
            <w:r>
              <w:rPr>
                <w:b/>
                <w:color w:val="1A7A3C"/>
                <w:sz w:val="18"/>
              </w:rPr>
              <w:t>YES ★</w:t>
            </w:r>
          </w:p>
        </w:tc>
      </w:tr>
      <w:tr>
        <w:tc>
          <w:tcPr>
            <w:tcW w:type="dxa" w:w="1568"/>
          </w:tcPr>
          <w:p>
            <w:r>
              <w:rPr>
                <w:sz w:val="18"/>
              </w:rPr>
              <w:t>Best Min OOS alt (MA): XLE</w:t>
            </w:r>
          </w:p>
        </w:tc>
        <w:tc>
          <w:tcPr>
            <w:tcW w:type="dxa" w:w="1568"/>
          </w:tcPr>
          <w:p>
            <w:r>
              <w:rPr>
                <w:sz w:val="18"/>
              </w:rPr>
            </w:r>
          </w:p>
        </w:tc>
        <w:tc>
          <w:tcPr>
            <w:tcW w:type="dxa" w:w="1568"/>
          </w:tcPr>
          <w:p>
            <w:r>
              <w:rPr>
                <w:sz w:val="18"/>
              </w:rPr>
              <w:t>0.47</w:t>
            </w:r>
          </w:p>
        </w:tc>
        <w:tc>
          <w:tcPr>
            <w:tcW w:type="dxa" w:w="1568"/>
          </w:tcPr>
          <w:p>
            <w:r>
              <w:rPr>
                <w:sz w:val="18"/>
              </w:rPr>
              <w:t>0.61*</w:t>
            </w:r>
          </w:p>
        </w:tc>
        <w:tc>
          <w:tcPr>
            <w:tcW w:type="dxa" w:w="1568"/>
          </w:tcPr>
          <w:p>
            <w:r>
              <w:rPr>
                <w:sz w:val="18"/>
              </w:rPr>
              <w:t>–</w:t>
            </w:r>
          </w:p>
        </w:tc>
        <w:tc>
          <w:tcPr>
            <w:tcW w:type="dxa" w:w="1568"/>
          </w:tcPr>
          <w:p>
            <w:r>
              <w:rPr>
                <w:sz w:val="18"/>
              </w:rPr>
              <w:t>Not chosen</w:t>
            </w:r>
          </w:p>
        </w:tc>
      </w:tr>
    </w:tbl>
    <w:p/>
    <w:p>
      <w:pPr>
        <w:pStyle w:val="Heading2"/>
        <w:spacing w:before="240" w:after="80"/>
      </w:pPr>
      <w:r>
        <w:rPr>
          <w:color w:val="2CA02C"/>
          <w:sz w:val="28"/>
        </w:rPr>
        <w:t>DSR Results (Research Notebook §4)</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A1A2E"/>
          </w:tcPr>
          <w:p>
            <w:r>
              <w:rPr>
                <w:b/>
                <w:color w:val="FFFFFF"/>
                <w:sz w:val="18"/>
              </w:rPr>
              <w:t>Signal</w:t>
            </w:r>
          </w:p>
        </w:tc>
        <w:tc>
          <w:tcPr>
            <w:tcW w:type="dxa" w:w="1568"/>
            <w:shd w:val="clear" w:color="auto" w:fill="1A1A2E"/>
          </w:tcPr>
          <w:p>
            <w:r>
              <w:rPr>
                <w:b/>
                <w:color w:val="FFFFFF"/>
                <w:sz w:val="18"/>
              </w:rPr>
              <w:t>IS Sharpe</w:t>
            </w:r>
          </w:p>
        </w:tc>
        <w:tc>
          <w:tcPr>
            <w:tcW w:type="dxa" w:w="1568"/>
            <w:shd w:val="clear" w:color="auto" w:fill="1A1A2E"/>
          </w:tcPr>
          <w:p>
            <w:r>
              <w:rPr>
                <w:b/>
                <w:color w:val="FFFFFF"/>
                <w:sz w:val="18"/>
              </w:rPr>
              <w:t>n_trials</w:t>
            </w:r>
          </w:p>
        </w:tc>
        <w:tc>
          <w:tcPr>
            <w:tcW w:type="dxa" w:w="1568"/>
            <w:shd w:val="clear" w:color="auto" w:fill="1A1A2E"/>
          </w:tcPr>
          <w:p>
            <w:r>
              <w:rPr>
                <w:b/>
                <w:color w:val="FFFFFF"/>
                <w:sz w:val="18"/>
              </w:rPr>
              <w:t>SR*</w:t>
            </w:r>
          </w:p>
        </w:tc>
        <w:tc>
          <w:tcPr>
            <w:tcW w:type="dxa" w:w="1568"/>
            <w:shd w:val="clear" w:color="auto" w:fill="1A1A2E"/>
          </w:tcPr>
          <w:p>
            <w:r>
              <w:rPr>
                <w:b/>
                <w:color w:val="FFFFFF"/>
                <w:sz w:val="18"/>
              </w:rPr>
              <w:t>DSR</w:t>
            </w:r>
          </w:p>
        </w:tc>
        <w:tc>
          <w:tcPr>
            <w:tcW w:type="dxa" w:w="1568"/>
            <w:shd w:val="clear" w:color="auto" w:fill="1A1A2E"/>
          </w:tcPr>
          <w:p>
            <w:r>
              <w:rPr>
                <w:b/>
                <w:color w:val="FFFFFF"/>
                <w:sz w:val="18"/>
              </w:rPr>
              <w:t>Verdict</w:t>
            </w:r>
          </w:p>
        </w:tc>
      </w:tr>
      <w:tr>
        <w:tc>
          <w:tcPr>
            <w:tcW w:type="dxa" w:w="1568"/>
          </w:tcPr>
          <w:p>
            <w:r>
              <w:rPr>
                <w:sz w:val="18"/>
              </w:rPr>
              <w:t>MA (Finance)</w:t>
            </w:r>
          </w:p>
        </w:tc>
        <w:tc>
          <w:tcPr>
            <w:tcW w:type="dxa" w:w="1568"/>
          </w:tcPr>
          <w:p>
            <w:r>
              <w:rPr>
                <w:sz w:val="18"/>
              </w:rPr>
              <w:t>0.845</w:t>
            </w:r>
          </w:p>
        </w:tc>
        <w:tc>
          <w:tcPr>
            <w:tcW w:type="dxa" w:w="1568"/>
          </w:tcPr>
          <w:p>
            <w:r>
              <w:rPr>
                <w:sz w:val="18"/>
              </w:rPr>
              <w:t>24</w:t>
            </w:r>
          </w:p>
        </w:tc>
        <w:tc>
          <w:tcPr>
            <w:tcW w:type="dxa" w:w="1568"/>
          </w:tcPr>
          <w:p>
            <w:r>
              <w:rPr>
                <w:sz w:val="18"/>
              </w:rPr>
              <w:t>0.061</w:t>
            </w:r>
          </w:p>
        </w:tc>
        <w:tc>
          <w:tcPr>
            <w:tcW w:type="dxa" w:w="1568"/>
          </w:tcPr>
          <w:p>
            <w:r>
              <w:rPr>
                <w:sz w:val="18"/>
              </w:rPr>
              <w:t>100%</w:t>
            </w:r>
          </w:p>
        </w:tc>
        <w:tc>
          <w:tcPr>
            <w:tcW w:type="dxa" w:w="1568"/>
          </w:tcPr>
          <w:p>
            <w:r>
              <w:rPr>
                <w:b/>
                <w:color w:val="1A7A3C"/>
                <w:sz w:val="18"/>
              </w:rPr>
              <w:t>Genuine skill</w:t>
            </w:r>
          </w:p>
        </w:tc>
      </w:tr>
      <w:tr>
        <w:tc>
          <w:tcPr>
            <w:tcW w:type="dxa" w:w="1568"/>
          </w:tcPr>
          <w:p>
            <w:r>
              <w:rPr>
                <w:sz w:val="18"/>
              </w:rPr>
              <w:t>RSI (Materials)</w:t>
            </w:r>
          </w:p>
        </w:tc>
        <w:tc>
          <w:tcPr>
            <w:tcW w:type="dxa" w:w="1568"/>
          </w:tcPr>
          <w:p>
            <w:r>
              <w:rPr>
                <w:sz w:val="18"/>
              </w:rPr>
              <w:t>0.745</w:t>
            </w:r>
          </w:p>
        </w:tc>
        <w:tc>
          <w:tcPr>
            <w:tcW w:type="dxa" w:w="1568"/>
          </w:tcPr>
          <w:p>
            <w:r>
              <w:rPr>
                <w:sz w:val="18"/>
              </w:rPr>
              <w:t>35</w:t>
            </w:r>
          </w:p>
        </w:tc>
        <w:tc>
          <w:tcPr>
            <w:tcW w:type="dxa" w:w="1568"/>
          </w:tcPr>
          <w:p>
            <w:r>
              <w:rPr>
                <w:sz w:val="18"/>
              </w:rPr>
              <w:t>0.065</w:t>
            </w:r>
          </w:p>
        </w:tc>
        <w:tc>
          <w:tcPr>
            <w:tcW w:type="dxa" w:w="1568"/>
          </w:tcPr>
          <w:p>
            <w:r>
              <w:rPr>
                <w:sz w:val="18"/>
              </w:rPr>
              <w:t>100%</w:t>
            </w:r>
          </w:p>
        </w:tc>
        <w:tc>
          <w:tcPr>
            <w:tcW w:type="dxa" w:w="1568"/>
          </w:tcPr>
          <w:p>
            <w:r>
              <w:rPr>
                <w:b/>
                <w:color w:val="1A7A3C"/>
                <w:sz w:val="18"/>
              </w:rPr>
              <w:t>Genuine skill</w:t>
            </w:r>
          </w:p>
        </w:tc>
      </w:tr>
      <w:tr>
        <w:tc>
          <w:tcPr>
            <w:tcW w:type="dxa" w:w="1568"/>
          </w:tcPr>
          <w:p>
            <w:r>
              <w:rPr>
                <w:sz w:val="18"/>
              </w:rPr>
              <w:t>Donchian (Tech.)</w:t>
            </w:r>
          </w:p>
        </w:tc>
        <w:tc>
          <w:tcPr>
            <w:tcW w:type="dxa" w:w="1568"/>
          </w:tcPr>
          <w:p>
            <w:r>
              <w:rPr>
                <w:sz w:val="18"/>
              </w:rPr>
              <w:t>0.773</w:t>
            </w:r>
          </w:p>
        </w:tc>
        <w:tc>
          <w:tcPr>
            <w:tcW w:type="dxa" w:w="1568"/>
          </w:tcPr>
          <w:p>
            <w:r>
              <w:rPr>
                <w:sz w:val="18"/>
              </w:rPr>
              <w:t>24</w:t>
            </w:r>
          </w:p>
        </w:tc>
        <w:tc>
          <w:tcPr>
            <w:tcW w:type="dxa" w:w="1568"/>
          </w:tcPr>
          <w:p>
            <w:r>
              <w:rPr>
                <w:sz w:val="18"/>
              </w:rPr>
              <w:t>0.061</w:t>
            </w:r>
          </w:p>
        </w:tc>
        <w:tc>
          <w:tcPr>
            <w:tcW w:type="dxa" w:w="1568"/>
          </w:tcPr>
          <w:p>
            <w:r>
              <w:rPr>
                <w:sz w:val="18"/>
              </w:rPr>
              <w:t>100%</w:t>
            </w:r>
          </w:p>
        </w:tc>
        <w:tc>
          <w:tcPr>
            <w:tcW w:type="dxa" w:w="1568"/>
          </w:tcPr>
          <w:p>
            <w:r>
              <w:rPr>
                <w:b/>
                <w:color w:val="1A7A3C"/>
                <w:sz w:val="18"/>
              </w:rPr>
              <w:t>Genuine skill</w:t>
            </w:r>
          </w:p>
        </w:tc>
      </w:tr>
    </w:tbl>
    <w:p/>
    <w:p>
      <w:pPr>
        <w:spacing w:before="120" w:after="120"/>
      </w:pPr>
      <w:r>
        <w:rPr>
          <w:color w:val="CCCCCC"/>
          <w:sz w:val="14"/>
        </w:rPr>
        <w:t>──────────────────────────────────────────────────────────────────────────────────────────</w:t>
      </w:r>
    </w:p>
    <w:p>
      <w:pPr>
        <w:pStyle w:val="Heading1"/>
        <w:spacing w:before="240" w:after="80"/>
      </w:pPr>
      <w:r>
        <w:rPr>
          <w:color w:val="1A1A2E"/>
          <w:sz w:val="36"/>
        </w:rPr>
        <w:t>Final Presentation Tips</w:t>
      </w:r>
    </w:p>
    <w:p>
      <w:pPr>
        <w:pStyle w:val="ListBullet"/>
        <w:spacing w:before="0" w:after="40"/>
        <w:ind w:left="432"/>
      </w:pPr>
      <w:r>
        <w:rPr>
          <w:b/>
          <w:sz w:val="20"/>
        </w:rPr>
        <w:t xml:space="preserve">Never read from this document during the presentation. </w:t>
      </w:r>
      <w:r>
        <w:rPr>
          <w:sz w:val="20"/>
        </w:rPr>
        <w:t>The professor penalises reading. Know your 5-minute section by heart.</w:t>
      </w:r>
    </w:p>
    <w:p>
      <w:pPr>
        <w:pStyle w:val="ListBullet"/>
        <w:spacing w:before="0" w:after="40"/>
        <w:ind w:left="432"/>
      </w:pPr>
      <w:r>
        <w:rPr>
          <w:b/>
          <w:sz w:val="20"/>
        </w:rPr>
        <w:t xml:space="preserve">Speak in economic terms, not code terms. </w:t>
      </w:r>
      <w:r>
        <w:rPr>
          <w:sz w:val="20"/>
        </w:rPr>
        <w:t>Say "interest rate cycles create trends in bank margins" not "we set short_window=20 in the function call".</w:t>
      </w:r>
    </w:p>
    <w:p>
      <w:pPr>
        <w:pStyle w:val="ListBullet"/>
        <w:spacing w:before="0" w:after="40"/>
        <w:ind w:left="432"/>
      </w:pPr>
      <w:r>
        <w:rPr>
          <w:b/>
          <w:sz w:val="20"/>
        </w:rPr>
        <w:t xml:space="preserve">Point at the notebook outputs, not the code cells. </w:t>
      </w:r>
      <w:r>
        <w:rPr>
          <w:sz w:val="20"/>
        </w:rPr>
        <w:t>The professor said: do not explain code lines. Jump past code, land on outputs.</w:t>
      </w:r>
    </w:p>
    <w:p>
      <w:pPr>
        <w:pStyle w:val="ListBullet"/>
        <w:spacing w:before="0" w:after="40"/>
        <w:ind w:left="432"/>
      </w:pPr>
      <w:r>
        <w:rPr>
          <w:b/>
          <w:sz w:val="20"/>
        </w:rPr>
        <w:t xml:space="preserve">Use numbers. </w:t>
      </w:r>
      <w:r>
        <w:rPr>
          <w:sz w:val="20"/>
        </w:rPr>
        <w:t>DSR 100%, Sortino 1.32 vs 0.99, Max DD -13% vs -34% — these are memorable anchors.</w:t>
      </w:r>
    </w:p>
    <w:p>
      <w:pPr>
        <w:pStyle w:val="ListBullet"/>
        <w:spacing w:before="0" w:after="40"/>
        <w:ind w:left="432"/>
      </w:pPr>
      <w:r>
        <w:rPr>
          <w:b/>
          <w:sz w:val="20"/>
        </w:rPr>
        <w:t xml:space="preserve">Transition phrases. </w:t>
      </w:r>
      <w:r>
        <w:rPr>
          <w:sz w:val="20"/>
        </w:rPr>
        <w:t>"Florian will now show you how we chose these parameters on IS data only..." → clean handoffs avoid wasted seconds.</w:t>
      </w:r>
    </w:p>
    <w:p>
      <w:pPr>
        <w:pStyle w:val="ListBullet"/>
        <w:spacing w:before="0" w:after="40"/>
        <w:ind w:left="432"/>
      </w:pPr>
      <w:r>
        <w:rPr>
          <w:b/>
          <w:sz w:val="20"/>
        </w:rPr>
        <w:t xml:space="preserve">For the defense: listen to the exact question. </w:t>
      </w:r>
      <w:r>
        <w:rPr>
          <w:sz w:val="20"/>
        </w:rPr>
        <w:t>Answer what was asked. If unsure, say "let me show you in the notebook" and navigate to the relevant cell.</w:t>
      </w:r>
    </w:p>
    <w:p>
      <w:pPr>
        <w:pStyle w:val="ListBullet"/>
        <w:spacing w:before="0" w:after="40"/>
        <w:ind w:left="432"/>
      </w:pPr>
      <w:r>
        <w:rPr>
          <w:b/>
          <w:sz w:val="20"/>
        </w:rPr>
        <w:t xml:space="preserve">Body language. </w:t>
      </w:r>
      <w:r>
        <w:rPr>
          <w:sz w:val="20"/>
        </w:rPr>
        <w:t>Stand, face the professor, not the screen. Gesture at the screen when referencing output.</w:t>
      </w:r>
    </w:p>
    <w:p/>
    <w:p>
      <w:pPr>
        <w:spacing w:before="0" w:after="60"/>
        <w:jc w:val="center"/>
      </w:pPr>
      <w:r>
        <w:rPr>
          <w:b w:val="0"/>
          <w:i/>
          <w:color w:val="555555"/>
          <w:sz w:val="18"/>
        </w:rPr>
        <w:t>Group 7  ·  Computational Finance  ·  Universität Tübingen  ·  Summer Term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