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7 — Presentation Script (Spoken)</w:t>
      </w:r>
    </w:p>
    <w:p>
      <w:r>
        <w:rPr>
          <w:i/>
          <w:sz w:val="26"/>
        </w:rPr>
        <w:t>Daanish · Florian (Flo) · Philip · Walid</w:t>
      </w:r>
    </w:p>
    <w:p>
      <w:r>
        <w:rPr>
          <w:b/>
          <w:sz w:val="22"/>
        </w:rPr>
        <w:t>20 min presentation + 10 min defense — present live, do not read.</w:t>
      </w:r>
    </w:p>
    <w:p>
      <w:pPr>
        <w:pStyle w:val="Heading1"/>
      </w:pPr>
      <w:r>
        <w:t>PART 1 — RESEARCH NOTEBOOK</w:t>
      </w:r>
    </w:p>
    <w:p>
      <w:pPr>
        <w:pStyle w:val="Heading2"/>
      </w:pPr>
      <w:r>
        <w:t>▶ DAANISH — Opening</w:t>
      </w:r>
    </w:p>
    <w:p>
      <w:r>
        <w:rPr>
          <w:i/>
        </w:rPr>
        <w:t>[show: title cell / top of the research notebook]</w:t>
      </w:r>
    </w:p>
    <w:p>
      <w:pPr>
        <w:pStyle w:val="ListBullet"/>
      </w:pPr>
      <w:r>
        <w:t>Good morning everyone — we're Group 7: myself Daanish, Flo, Philip and Walid.</w:t>
      </w:r>
    </w:p>
    <w:p>
      <w:pPr>
        <w:pStyle w:val="ListBullet"/>
      </w:pPr>
      <w:r>
        <w:t>Our big idea is simple: take three structurally DIFFERENT signals and run each on a different sector ETF, so the exposures stay uncorrelated.</w:t>
      </w:r>
    </w:p>
    <w:p>
      <w:pPr>
        <w:pStyle w:val="ListBullet"/>
      </w:pPr>
      <w:r>
        <w:t>One trend-follower, one mean-reversion signal, one breakout signal — three different ways markets actually move.</w:t>
      </w:r>
    </w:p>
    <w:p>
      <w:pPr>
        <w:pStyle w:val="ListBullet"/>
      </w:pPr>
      <w:r>
        <w:t>Everything is built on a strict walk-forward design: we optimise on old data, then test on data the model has never seen.</w:t>
      </w:r>
    </w:p>
    <w:p>
      <w:pPr>
        <w:pStyle w:val="ListBullet"/>
      </w:pPr>
      <w:r>
        <w:t>And it's all pure NumPy under the hood — no pandas rolling, no scipy — we hand-coded the moving averages, the RSI, the risk ratios, everything.</w:t>
      </w:r>
    </w:p>
    <w:p>
      <w:pPr>
        <w:pStyle w:val="ListBullet"/>
      </w:pPr>
      <w:r>
        <w:t>Quick roadmap: first half is the RESEARCH notebook where we choose and tune the strategy; second half is the ASSESSMENT notebook where we freeze it and test it. About ten minutes each.</w:t>
      </w:r>
    </w:p>
    <w:p>
      <w:r>
        <w:rPr>
          <w:b/>
        </w:rPr>
        <w:t xml:space="preserve">Handover: </w:t>
      </w:r>
      <w:r>
        <w:rPr>
          <w:i/>
        </w:rPr>
        <w:t>So let me start by walking you through the setup and the signals themselves.</w:t>
      </w:r>
    </w:p>
    <w:p>
      <w:pPr>
        <w:pStyle w:val="Heading2"/>
      </w:pPr>
      <w:r>
        <w:t>▶ DAANISH — Research §1: Setup + §2: Signal Catalogue</w:t>
      </w:r>
    </w:p>
    <w:p>
      <w:r>
        <w:rPr>
          <w:i/>
        </w:rPr>
        <w:t>[show: Research §1 setup cell, then scroll to §2 signal catalogue]</w:t>
      </w:r>
    </w:p>
    <w:p>
      <w:pPr>
        <w:pStyle w:val="ListBullet"/>
      </w:pPr>
      <w:r>
        <w:t>Setup first: we pull adjusted close prices for the SPDR sector ETFs plus the S&amp;P 500 as our benchmark.</w:t>
      </w:r>
    </w:p>
    <w:p>
      <w:pPr>
        <w:pStyle w:val="ListBullet"/>
      </w:pPr>
      <w:r>
        <w:t>We split time into three NON-overlapping windows — and this is the heart of the design.</w:t>
      </w:r>
    </w:p>
    <w:p>
      <w:pPr>
        <w:pStyle w:val="ListBullet"/>
      </w:pPr>
      <w:r>
        <w:t>In-sample is 2010 to 2019 — that's the ONLY data we ever use to tune parameters.</w:t>
      </w:r>
    </w:p>
    <w:p>
      <w:pPr>
        <w:pStyle w:val="ListBullet"/>
      </w:pPr>
      <w:r>
        <w:t>Out-of-sample 1 is 2020 to 2025 — the recent unseen period, our forward test.</w:t>
      </w:r>
    </w:p>
    <w:p>
      <w:pPr>
        <w:pStyle w:val="ListBullet"/>
      </w:pPr>
      <w:r>
        <w:t>Out-of-sample 2 is 2000 to 2009 — deliberately BEFORE the training window, so it's a genuinely unseen regime with the dot-com bust and the financial crisis baked in.</w:t>
      </w:r>
    </w:p>
    <w:p>
      <w:pPr>
        <w:pStyle w:val="ListBullet"/>
      </w:pPr>
      <w:r>
        <w:t>Two anti-cheating rules: parameters are frozen on in-sample before we ever look at out-of-sample, and every signal is lagged one day — a signal at today's close only earns tomorrow's return. No look-ahead.</w:t>
      </w:r>
    </w:p>
    <w:p>
      <w:pPr>
        <w:pStyle w:val="ListBullet"/>
      </w:pPr>
      <w:r>
        <w:t>We report gross returns, no transaction costs — that's a confirmed scope decision, and our signals are low-turnover anyway.</w:t>
      </w:r>
    </w:p>
    <w:p>
      <w:pPr>
        <w:pStyle w:val="ListBullet"/>
      </w:pPr>
      <w:r>
        <w:t>Now the signal catalogue: we capture three distinct return mechanisms.</w:t>
      </w:r>
    </w:p>
    <w:p>
      <w:pPr>
        <w:pStyle w:val="ListBullet"/>
      </w:pPr>
      <w:r>
        <w:t>Trend-following with a moving-average crossover — rides slow persistent trends.</w:t>
      </w:r>
    </w:p>
    <w:p>
      <w:pPr>
        <w:pStyle w:val="ListBullet"/>
      </w:pPr>
      <w:r>
        <w:t>Mean-reversion with RSI — fades overbought and oversold extremes.</w:t>
      </w:r>
    </w:p>
    <w:p>
      <w:pPr>
        <w:pStyle w:val="ListBullet"/>
      </w:pPr>
      <w:r>
        <w:t>Breakout with a Donchian channel — buys new highs when price escapes its recent range.</w:t>
      </w:r>
    </w:p>
    <w:p>
      <w:pPr>
        <w:pStyle w:val="ListBullet"/>
      </w:pPr>
      <w:r>
        <w:t>The point is these three are economically uncorrelated — when one is quiet another may be working.</w:t>
      </w:r>
    </w:p>
    <w:p>
      <w:r>
        <w:rPr>
          <w:b/>
        </w:rPr>
        <w:t xml:space="preserve">Handover: </w:t>
      </w:r>
      <w:r>
        <w:rPr>
          <w:i/>
        </w:rPr>
        <w:t>Flo will now show how we matched each of these signals to the RIGHT ETF, and how we tuned them.</w:t>
      </w:r>
    </w:p>
    <w:p>
      <w:pPr>
        <w:pStyle w:val="Heading2"/>
      </w:pPr>
      <w:r>
        <w:t>▶ FLO — Research §3: ETF Assignment + §4: In-Sample Parameter Optimisation</w:t>
      </w:r>
    </w:p>
    <w:p>
      <w:r>
        <w:rPr>
          <w:i/>
        </w:rPr>
        <w:t>[show: Research §3 assignment table, then §4 Sortino heatmaps]</w:t>
      </w:r>
    </w:p>
    <w:p>
      <w:pPr>
        <w:pStyle w:val="ListBullet"/>
      </w:pPr>
      <w:r>
        <w:t>Thanks Daanish. The big question in section 3 is: which signal goes on which ETF, and why.</w:t>
      </w:r>
    </w:p>
    <w:p>
      <w:pPr>
        <w:pStyle w:val="ListBullet"/>
      </w:pPr>
      <w:r>
        <w:t>We didn't guess — we screened all seven catalogued signals across ten SPDR sector ETFs, that's seventy pairs, over all three periods.</w:t>
      </w:r>
    </w:p>
    <w:p>
      <w:pPr>
        <w:pStyle w:val="ListBullet"/>
      </w:pPr>
      <w:r>
        <w:t>Crucially the choice was driven by IN-SAMPLE Sortino — not out-of-sample — so there's no peeking at the test data.</w:t>
      </w:r>
    </w:p>
    <w:p>
      <w:pPr>
        <w:pStyle w:val="ListBullet"/>
      </w:pPr>
      <w:r>
        <w:t>The three winners each have an economic story.</w:t>
      </w:r>
    </w:p>
    <w:p>
      <w:pPr>
        <w:pStyle w:val="ListBullet"/>
      </w:pPr>
      <w:r>
        <w:t>MA Crossover goes on XLF, Financials — interest-rate cycles create sustained multi-year trends; rising rates widen bank margins, falling rates compress them, so a slow crossover rides those trends. In-sample Sortino 1.22.</w:t>
      </w:r>
    </w:p>
    <w:p>
      <w:pPr>
        <w:pStyle w:val="ListBullet"/>
      </w:pPr>
      <w:r>
        <w:t>RSI goes on XLB, Materials — commodity and PMI cycles push metals and chemicals into recurring overbought and oversold extremes that mean-revert, classic De Bondt and Thaler overreaction. In-sample Sortino 1.03.</w:t>
      </w:r>
    </w:p>
    <w:p>
      <w:pPr>
        <w:pStyle w:val="ListBullet"/>
      </w:pPr>
      <w:r>
        <w:t>Donchian goes on XLK, Technology — tech follows multi-year product-adoption S-curves, so it breaks out to new highs and keeps going. In-sample Sortino 1.07.</w:t>
      </w:r>
    </w:p>
    <w:p>
      <w:pPr>
        <w:pStyle w:val="ListBullet"/>
      </w:pPr>
      <w:r>
        <w:t>Key honesty point: for every one of these, the chosen pair had a HIGHER in-sample Sortino than the pair that would have maximised out-of-sample — proof we selected on in-sample fit, not by snooping the test set.</w:t>
      </w:r>
    </w:p>
    <w:p>
      <w:pPr>
        <w:pStyle w:val="ListBullet"/>
      </w:pPr>
      <w:r>
        <w:t>And we use ETFs, not single stocks, on purpose — that strips out company-specific noise so we're trading the sector cycle itself.</w:t>
      </w:r>
    </w:p>
    <w:p>
      <w:pPr>
        <w:pStyle w:val="ListBullet"/>
      </w:pPr>
      <w:r>
        <w:t>Section 4 is the tuning. Our objective is the SORTINO ratio — and that's deliberate.</w:t>
      </w:r>
    </w:p>
    <w:p>
      <w:pPr>
        <w:pStyle w:val="ListBullet"/>
      </w:pPr>
      <w:r>
        <w:t>Sortino penalises only DOWNSIDE deviation, so a strategy that cuts big losses scores well even with modest upside. Investors fear losses, not symmetric volatility — that's why Sortino over Sharpe.</w:t>
      </w:r>
    </w:p>
    <w:p>
      <w:pPr>
        <w:pStyle w:val="ListBullet"/>
      </w:pPr>
      <w:r>
        <w:t>We grid-search each signal on 2010-2019 only. The heatmaps show the Sortino surface with the best combo starred.</w:t>
      </w:r>
    </w:p>
    <w:p>
      <w:pPr>
        <w:pStyle w:val="ListBullet"/>
      </w:pPr>
      <w:r>
        <w:t>The frozen winners: MA crossover short 20 / long 100; RSI oversold 45 / overbought 65; Donchian entry 125 days / exit 100 days.</w:t>
      </w:r>
    </w:p>
    <w:p>
      <w:pPr>
        <w:pStyle w:val="ListBullet"/>
      </w:pPr>
      <w:r>
        <w:t>Notice Donchian uses an asymmetric window — a longer entry to confirm the breakout, a shorter exit to get out fast.</w:t>
      </w:r>
    </w:p>
    <w:p>
      <w:pPr>
        <w:pStyle w:val="ListBullet"/>
      </w:pPr>
      <w:r>
        <w:t>Finally the Deflated Sharpe ratio — Bailey and Lopez de Prado — corrects the in-sample Sharpe for how many combos we tried: 24 for MA, 35 for RSI, 24 for Donchian.</w:t>
      </w:r>
    </w:p>
    <w:p>
      <w:pPr>
        <w:pStyle w:val="ListBullet"/>
      </w:pPr>
      <w:r>
        <w:t>All three come out near 100 percent — above 95 means genuine skill, not an overfit lucky pick.</w:t>
      </w:r>
    </w:p>
    <w:p>
      <w:r>
        <w:rPr>
          <w:b/>
        </w:rPr>
        <w:t xml:space="preserve">Handover: </w:t>
      </w:r>
      <w:r>
        <w:rPr>
          <w:i/>
        </w:rPr>
        <w:t>Walid will now show what this actually delivers — the cumulative return curves.</w:t>
      </w:r>
    </w:p>
    <w:p>
      <w:pPr>
        <w:pStyle w:val="Heading2"/>
      </w:pPr>
      <w:r>
        <w:t>▶ WALID — Research §6: Net Cumulative Return Curves</w:t>
      </w:r>
    </w:p>
    <w:p>
      <w:r>
        <w:rPr>
          <w:i/>
        </w:rPr>
        <w:t>[show: Research §6 — the 3x3 grid of cumulative return curves]</w:t>
      </w:r>
    </w:p>
    <w:p>
      <w:pPr>
        <w:pStyle w:val="ListBullet"/>
      </w:pPr>
      <w:r>
        <w:t>Thanks Flo. This is the payoff picture — a three-by-three grid.</w:t>
      </w:r>
    </w:p>
    <w:p>
      <w:pPr>
        <w:pStyle w:val="ListBullet"/>
      </w:pPr>
      <w:r>
        <w:t>Each ROW is one signal, each COLUMN is one period — in-sample, then the two out-of-sample windows.</w:t>
      </w:r>
    </w:p>
    <w:p>
      <w:pPr>
        <w:pStyle w:val="ListBullet"/>
      </w:pPr>
      <w:r>
        <w:t>The solid line is our strategy's net cumulative return in percent; the dashed red line is the S&amp;P 500.</w:t>
      </w:r>
    </w:p>
    <w:p>
      <w:pPr>
        <w:pStyle w:val="ListBullet"/>
      </w:pPr>
      <w:r>
        <w:t>Everything is normalised to zero at the start of each period, so you're comparing growth fairly within each window.</w:t>
      </w:r>
    </w:p>
    <w:p>
      <w:pPr>
        <w:pStyle w:val="ListBullet"/>
      </w:pPr>
      <w:r>
        <w:t>What I want you to see is consistency — the edge that shows up in-sample doesn't just vanish out-of-sample; the shape holds across regimes.</w:t>
      </w:r>
    </w:p>
    <w:p>
      <w:pPr>
        <w:pStyle w:val="ListBullet"/>
      </w:pPr>
      <w:r>
        <w:t>And look at the flat stretches — those are periods where the strategy is in CASH because no signal is active. It's simply not in the market when there's no edge.</w:t>
      </w:r>
    </w:p>
    <w:p>
      <w:pPr>
        <w:pStyle w:val="ListBullet"/>
      </w:pPr>
      <w:r>
        <w:t>That's the foundation of the diversification story: three different signals firing at different times on different sectors.</w:t>
      </w:r>
    </w:p>
    <w:p>
      <w:r>
        <w:rPr>
          <w:b/>
        </w:rPr>
        <w:t xml:space="preserve">Handover: </w:t>
      </w:r>
      <w:r>
        <w:rPr>
          <w:i/>
        </w:rPr>
        <w:t>Philip will now show the downside side of the coin — the drawdowns — and close out the research notebook.</w:t>
      </w:r>
    </w:p>
    <w:p>
      <w:pPr>
        <w:pStyle w:val="Heading2"/>
      </w:pPr>
      <w:r>
        <w:t>▶ PHILIP — Research §7: Drawdown Curves + §5: Walk-Forward Validation Table</w:t>
      </w:r>
    </w:p>
    <w:p>
      <w:r>
        <w:rPr>
          <w:i/>
        </w:rPr>
        <w:t>[show: Research §7 drawdown curves, then scroll up to §5 validation table]</w:t>
      </w:r>
    </w:p>
    <w:p>
      <w:pPr>
        <w:pStyle w:val="ListBullet"/>
      </w:pPr>
      <w:r>
        <w:t>Thanks Walid. Section 7 is the underwater view — drawdowns.</w:t>
      </w:r>
    </w:p>
    <w:p>
      <w:pPr>
        <w:pStyle w:val="ListBullet"/>
      </w:pPr>
      <w:r>
        <w:t>The shaded area is how far the strategy is below its own peak; the dashed red line is the S&amp;P 500's drawdown.</w:t>
      </w:r>
    </w:p>
    <w:p>
      <w:pPr>
        <w:pStyle w:val="ListBullet"/>
      </w:pPr>
      <w:r>
        <w:t>The story here is downside protection: because the strategy holds CASH when no signal is active, it sidesteps the worst index drawdowns.</w:t>
      </w:r>
    </w:p>
    <w:p>
      <w:pPr>
        <w:pStyle w:val="ListBullet"/>
      </w:pPr>
      <w:r>
        <w:t>That's exactly what you'd expect from a Sortino-optimised strategy — the whole point was to control the downside, and you can see it directly.</w:t>
      </w:r>
    </w:p>
    <w:p>
      <w:pPr>
        <w:pStyle w:val="ListBullet"/>
      </w:pPr>
      <w:r>
        <w:t>Now let me jump up to section 5, the walk-forward validation table — this is our primary evidence.</w:t>
      </w:r>
    </w:p>
    <w:p>
      <w:pPr>
        <w:pStyle w:val="ListBullet"/>
      </w:pPr>
      <w:r>
        <w:t>It reports Sortino, Sharpe, CAGR, max drawdown and Calmar across all three periods, benchmarked against the S&amp;P 500.</w:t>
      </w:r>
    </w:p>
    <w:p>
      <w:pPr>
        <w:pStyle w:val="ListBullet"/>
      </w:pPr>
      <w:r>
        <w:t>The one question this table answers: does the in-sample edge survive on data we never tuned on? That's the real test of whether we found skill or just fit noise.</w:t>
      </w:r>
    </w:p>
    <w:p>
      <w:pPr>
        <w:pStyle w:val="ListBullet"/>
      </w:pPr>
      <w:r>
        <w:t>And the out-of-sample numbers hold up — the strategy generalises, which is the whole reason for the strict walk-forward design.</w:t>
      </w:r>
    </w:p>
    <w:p>
      <w:r>
        <w:rPr>
          <w:b/>
        </w:rPr>
        <w:t xml:space="preserve">Handover: </w:t>
      </w:r>
      <w:r>
        <w:rPr>
          <w:i/>
        </w:rPr>
        <w:t>That closes the research notebook. Philip will keep going and open the assessment notebook.</w:t>
      </w:r>
    </w:p>
    <w:p>
      <w:pPr>
        <w:pStyle w:val="Heading1"/>
      </w:pPr>
      <w:r>
        <w:t>PART 2 — ASSESSMENT NOTEBOOK</w:t>
      </w:r>
    </w:p>
    <w:p>
      <w:pPr>
        <w:pStyle w:val="Heading2"/>
      </w:pPr>
      <w:r>
        <w:t>▶ PHILIP — Assessment Opening + §1: Setup + §2: Signals</w:t>
      </w:r>
    </w:p>
    <w:p>
      <w:r>
        <w:rPr>
          <w:i/>
        </w:rPr>
        <w:t>[show: top of the assessment notebook, then §1 setup, then §2 signals with LaTeX formulas]</w:t>
      </w:r>
    </w:p>
    <w:p>
      <w:pPr>
        <w:pStyle w:val="ListBullet"/>
      </w:pPr>
      <w:r>
        <w:t>So the research notebook was about CHOOSING the strategy. The assessment notebook is about FREEZING it and testing it honestly.</w:t>
      </w:r>
    </w:p>
    <w:p>
      <w:pPr>
        <w:pStyle w:val="ListBullet"/>
      </w:pPr>
      <w:r>
        <w:t>Section 1 setup: we load adjusted close for our three chosen ETFs — XLF, XLB, XLK — plus the S&amp;P 500 benchmark.</w:t>
      </w:r>
    </w:p>
    <w:p>
      <w:pPr>
        <w:pStyle w:val="ListBullet"/>
      </w:pPr>
      <w:r>
        <w:t>Section 2 is the three signals, but now with the parameters frozen — taken straight from the research grid search, no re-optimisation.</w:t>
      </w:r>
    </w:p>
    <w:p>
      <w:pPr>
        <w:pStyle w:val="ListBullet"/>
      </w:pPr>
      <w:r>
        <w:t>MA crossover on XLF with short 20, long 100. RSI on XLB with oversold 45, overbought 65. Donchian on XLK with entry 125, exit 100.</w:t>
      </w:r>
    </w:p>
    <w:p>
      <w:pPr>
        <w:pStyle w:val="ListBullet"/>
      </w:pPr>
      <w:r>
        <w:t>The formulas are written out in LaTeX so the logic is transparent and reproducible.</w:t>
      </w:r>
    </w:p>
    <w:p>
      <w:pPr>
        <w:pStyle w:val="ListBullet"/>
      </w:pPr>
      <w:r>
        <w:t>The discipline point: these numbers were locked in before we ever touched the out-of-sample data. Nothing here is fitted to what we're about to show.</w:t>
      </w:r>
    </w:p>
    <w:p>
      <w:r>
        <w:rPr>
          <w:b/>
        </w:rPr>
        <w:t xml:space="preserve">Handover: </w:t>
      </w:r>
      <w:r>
        <w:rPr>
          <w:i/>
        </w:rPr>
        <w:t>Walid will run the combined portfolio and show how it performs.</w:t>
      </w:r>
    </w:p>
    <w:p>
      <w:pPr>
        <w:pStyle w:val="Heading2"/>
      </w:pPr>
      <w:r>
        <w:t>▶ WALID — Assessment §3: Portfolio &amp; Performance (Graph 1 Equity + Graph 2 Drawdown)</w:t>
      </w:r>
    </w:p>
    <w:p>
      <w:r>
        <w:rPr>
          <w:i/>
        </w:rPr>
        <w:t>[show: §3 Performance Summary table, then Graph 1 equity curve, then Graph 2 drawdown]</w:t>
      </w:r>
    </w:p>
    <w:p>
      <w:pPr>
        <w:pStyle w:val="ListBullet"/>
      </w:pPr>
      <w:r>
        <w:t>Thanks Philip. Section 3 combines the three signals into one portfolio over the full span, 2000 to 2025.</w:t>
      </w:r>
    </w:p>
    <w:p>
      <w:pPr>
        <w:pStyle w:val="ListBullet"/>
      </w:pPr>
      <w:r>
        <w:t>The Performance Summary table reports CAGR, Sharpe, Sortino, Calmar, annualised vol, max drawdown and number of trades.</w:t>
      </w:r>
    </w:p>
    <w:p>
      <w:pPr>
        <w:pStyle w:val="ListBullet"/>
      </w:pPr>
      <w:r>
        <w:t>One fairness caveat up front: the S&amp;P 500 buy-and-hold is ALWAYS fully invested, while we hold cash whenever we're flat.</w:t>
      </w:r>
    </w:p>
    <w:p>
      <w:pPr>
        <w:pStyle w:val="ListBullet"/>
      </w:pPr>
      <w:r>
        <w:t>So the raw comparison actually FAVOURS the index — yet on risk-adjusted terms the strategy still competes, and that's the meaningful comparison.</w:t>
      </w:r>
    </w:p>
    <w:p>
      <w:pPr>
        <w:pStyle w:val="ListBullet"/>
      </w:pPr>
      <w:r>
        <w:t>Graph 1 is the equity curve — the portfolio's growth against the benchmark; you can see steady compounding rather than a wild ride.</w:t>
      </w:r>
    </w:p>
    <w:p>
      <w:pPr>
        <w:pStyle w:val="ListBullet"/>
      </w:pPr>
      <w:r>
        <w:t>Graph 2 is the drawdown — and again the underwater periods are shallower because we step aside into cash when signals are silent.</w:t>
      </w:r>
    </w:p>
    <w:p>
      <w:pPr>
        <w:pStyle w:val="ListBullet"/>
      </w:pPr>
      <w:r>
        <w:t>For an investor that's the value proposition: competitive growth with materially better downside behaviour.</w:t>
      </w:r>
    </w:p>
    <w:p>
      <w:r>
        <w:rPr>
          <w:b/>
        </w:rPr>
        <w:t xml:space="preserve">Handover: </w:t>
      </w:r>
      <w:r>
        <w:rPr>
          <w:i/>
        </w:rPr>
        <w:t>Daanish will now break down the first individual signal.</w:t>
      </w:r>
    </w:p>
    <w:p>
      <w:pPr>
        <w:pStyle w:val="Heading2"/>
      </w:pPr>
      <w:r>
        <w:t>▶ DAANISH — Assessment §3: Graph 3 (Signal 0 — MA Crossover on XLF)</w:t>
      </w:r>
    </w:p>
    <w:p>
      <w:r>
        <w:rPr>
          <w:i/>
        </w:rPr>
        <w:t>[show: §3 Graph 3 — XLF price with the two MAs and entry/exit markers]</w:t>
      </w:r>
    </w:p>
    <w:p>
      <w:pPr>
        <w:pStyle w:val="ListBullet"/>
      </w:pPr>
      <w:r>
        <w:t>Thanks Walid. This is Signal 0 — the moving-average crossover on XLF, Financials.</w:t>
      </w:r>
    </w:p>
    <w:p>
      <w:pPr>
        <w:pStyle w:val="ListBullet"/>
      </w:pPr>
      <w:r>
        <w:t>You're seeing the price with two moving averages — the fast 20-day and the slow 100-day — plus the entry and exit markers.</w:t>
      </w:r>
    </w:p>
    <w:p>
      <w:pPr>
        <w:pStyle w:val="ListBullet"/>
      </w:pPr>
      <w:r>
        <w:t>We go long when the fast crosses above the slow, and step out when it crosses back below.</w:t>
      </w:r>
    </w:p>
    <w:p>
      <w:pPr>
        <w:pStyle w:val="ListBullet"/>
      </w:pPr>
      <w:r>
        <w:t>Economically this is riding the interest-rate cycle in banks — the slow window keeps us in the trend and filters out the noise.</w:t>
      </w:r>
    </w:p>
    <w:p>
      <w:pPr>
        <w:pStyle w:val="ListBullet"/>
      </w:pPr>
      <w:r>
        <w:t>Notice the entries cluster at the start of sustained up-moves and the exits get us out before the worst of the reversals.</w:t>
      </w:r>
    </w:p>
    <w:p>
      <w:r>
        <w:rPr>
          <w:b/>
        </w:rPr>
        <w:t xml:space="preserve">Handover: </w:t>
      </w:r>
      <w:r>
        <w:rPr>
          <w:i/>
        </w:rPr>
        <w:t>Flo takes the mean-reversion signal next.</w:t>
      </w:r>
    </w:p>
    <w:p>
      <w:pPr>
        <w:pStyle w:val="Heading2"/>
      </w:pPr>
      <w:r>
        <w:t>▶ FLO — Assessment §3: Graph 4 (Signal 1 — RSI on XLB)</w:t>
      </w:r>
    </w:p>
    <w:p>
      <w:r>
        <w:rPr>
          <w:i/>
        </w:rPr>
        <w:t>[show: §3 Graph 4 — XLB price with RSI bands and entry/exit markers]</w:t>
      </w:r>
    </w:p>
    <w:p>
      <w:pPr>
        <w:pStyle w:val="ListBullet"/>
      </w:pPr>
      <w:r>
        <w:t>Thanks Daanish. Signal 1 — RSI mean-reversion on XLB, Materials.</w:t>
      </w:r>
    </w:p>
    <w:p>
      <w:pPr>
        <w:pStyle w:val="ListBullet"/>
      </w:pPr>
      <w:r>
        <w:t>This one works the opposite way to the trend signal: we BUY weakness and SELL strength.</w:t>
      </w:r>
    </w:p>
    <w:p>
      <w:pPr>
        <w:pStyle w:val="ListBullet"/>
      </w:pPr>
      <w:r>
        <w:t>When RSI drops to oversold — our level 45 — we go long, expecting a bounce; when it pushes up to overbought at 65 we exit.</w:t>
      </w:r>
    </w:p>
    <w:p>
      <w:pPr>
        <w:pStyle w:val="ListBullet"/>
      </w:pPr>
      <w:r>
        <w:t>Economically, materials swing with commodity and PMI cycles, so they overshoot in both directions and then snap back — that's the overreaction effect we're harvesting.</w:t>
      </w:r>
    </w:p>
    <w:p>
      <w:pPr>
        <w:pStyle w:val="ListBullet"/>
      </w:pPr>
      <w:r>
        <w:t>You can see the entries landing in the dips and the exits near the local peaks — exactly the mean-reversion behaviour we wanted.</w:t>
      </w:r>
    </w:p>
    <w:p>
      <w:r>
        <w:rPr>
          <w:b/>
        </w:rPr>
        <w:t xml:space="preserve">Handover: </w:t>
      </w:r>
      <w:r>
        <w:rPr>
          <w:i/>
        </w:rPr>
        <w:t>Philip will finish the trio with the breakout signal.</w:t>
      </w:r>
    </w:p>
    <w:p>
      <w:pPr>
        <w:pStyle w:val="Heading2"/>
      </w:pPr>
      <w:r>
        <w:t>▶ PHILIP — Assessment §3: Graph 5 (Signal 2 — Donchian on XLK)</w:t>
      </w:r>
    </w:p>
    <w:p>
      <w:r>
        <w:rPr>
          <w:i/>
        </w:rPr>
        <w:t>[show: §3 Graph 5 — XLK price with Donchian channel and entry/exit markers]</w:t>
      </w:r>
    </w:p>
    <w:p>
      <w:pPr>
        <w:pStyle w:val="ListBullet"/>
      </w:pPr>
      <w:r>
        <w:t>Thanks Flo. Signal 2 — the Donchian breakout on XLK, Technology.</w:t>
      </w:r>
    </w:p>
    <w:p>
      <w:pPr>
        <w:pStyle w:val="ListBullet"/>
      </w:pPr>
      <w:r>
        <w:t>The bands are the highest high over the last 125 days and the lowest low over the last 100 — the entry and exit channels.</w:t>
      </w:r>
    </w:p>
    <w:p>
      <w:pPr>
        <w:pStyle w:val="ListBullet"/>
      </w:pPr>
      <w:r>
        <w:t>We go long when price breaks out to a new 125-day high, and we exit when it falls back through the shorter 100-day low.</w:t>
      </w:r>
    </w:p>
    <w:p>
      <w:pPr>
        <w:pStyle w:val="ListBullet"/>
      </w:pPr>
      <w:r>
        <w:t>The asymmetry is deliberate — a long entry window to confirm the breakout is real, a shorter exit to protect gains quickly.</w:t>
      </w:r>
    </w:p>
    <w:p>
      <w:pPr>
        <w:pStyle w:val="ListBullet"/>
      </w:pPr>
      <w:r>
        <w:t>Economically tech rides multi-year adoption S-curves, so new highs tend to lead to more new highs — breakouts persist.</w:t>
      </w:r>
    </w:p>
    <w:p>
      <w:r>
        <w:rPr>
          <w:b/>
        </w:rPr>
        <w:t xml:space="preserve">Handover: </w:t>
      </w:r>
      <w:r>
        <w:rPr>
          <w:i/>
        </w:rPr>
        <w:t>Daanish now shows why these results aren't a fluke — the robustness checks.</w:t>
      </w:r>
    </w:p>
    <w:p>
      <w:pPr>
        <w:pStyle w:val="Heading2"/>
      </w:pPr>
      <w:r>
        <w:t>▶ DAANISH — Assessment §4: Robustness</w:t>
      </w:r>
    </w:p>
    <w:p>
      <w:r>
        <w:rPr>
          <w:i/>
        </w:rPr>
        <w:t>[show: §4 parameter-sensitivity heatmaps, basket-averaged IS Sortino]</w:t>
      </w:r>
    </w:p>
    <w:p>
      <w:pPr>
        <w:pStyle w:val="ListBullet"/>
      </w:pPr>
      <w:r>
        <w:t>Thanks Philip. The natural worry with any tuned strategy is: did we just land on a lucky pixel in the grid?</w:t>
      </w:r>
    </w:p>
    <w:p>
      <w:pPr>
        <w:pStyle w:val="ListBullet"/>
      </w:pPr>
      <w:r>
        <w:t>Section 4 answers that with parameter-sensitivity heatmaps — basket-averaged in-sample Sortino across the whole grid.</w:t>
      </w:r>
    </w:p>
    <w:p>
      <w:pPr>
        <w:pStyle w:val="ListBullet"/>
      </w:pPr>
      <w:r>
        <w:t>What we want to see, and what we DO see, is a smooth PLATEAU around our chosen starred parameters.</w:t>
      </w:r>
    </w:p>
    <w:p>
      <w:pPr>
        <w:pStyle w:val="ListBullet"/>
      </w:pPr>
      <w:r>
        <w:t>If performance fell off a cliff one step away, that would be a fragile knife-edge optimum — overfit.</w:t>
      </w:r>
    </w:p>
    <w:p>
      <w:pPr>
        <w:pStyle w:val="ListBullet"/>
      </w:pPr>
      <w:r>
        <w:t>Instead the neighbours all perform similarly, which means the edge is robust to reasonable parameter choices, not a coincidence.</w:t>
      </w:r>
    </w:p>
    <w:p>
      <w:pPr>
        <w:pStyle w:val="ListBullet"/>
      </w:pPr>
      <w:r>
        <w:t>That plateau is also why we're comfortable freezing these exact numbers for the out-of-sample test.</w:t>
      </w:r>
    </w:p>
    <w:p>
      <w:r>
        <w:rPr>
          <w:b/>
        </w:rPr>
        <w:t xml:space="preserve">Handover: </w:t>
      </w:r>
      <w:r>
        <w:rPr>
          <w:i/>
        </w:rPr>
        <w:t>Flo will run that final out-of-sample test and close us out.</w:t>
      </w:r>
    </w:p>
    <w:p>
      <w:pPr>
        <w:pStyle w:val="Heading2"/>
      </w:pPr>
      <w:r>
        <w:t>▶ FLO — Assessment §5: Walk-Forward Validation + Close</w:t>
      </w:r>
    </w:p>
    <w:p>
      <w:r>
        <w:rPr>
          <w:i/>
        </w:rPr>
        <w:t>[show: §5 walk-forward validation table across IS / OOS1 / OOS2]</w:t>
      </w:r>
    </w:p>
    <w:p>
      <w:pPr>
        <w:pStyle w:val="ListBullet"/>
      </w:pPr>
      <w:r>
        <w:t>Thanks Daanish. This is the moment of truth — section 5, the walk-forward validation.</w:t>
      </w:r>
    </w:p>
    <w:p>
      <w:pPr>
        <w:pStyle w:val="ListBullet"/>
      </w:pPr>
      <w:r>
        <w:t>We fix the parameters on the in-sample window and then evaluate ONCE on each held-out period: OOS1 2020-2025 and OOS2 2000-2009.</w:t>
      </w:r>
    </w:p>
    <w:p>
      <w:pPr>
        <w:pStyle w:val="ListBullet"/>
      </w:pPr>
      <w:r>
        <w:t>Because we only touch this data once, with frozen parameters, there's no way to retro-fit — what you see is what an investor would actually have got.</w:t>
      </w:r>
    </w:p>
    <w:p>
      <w:pPr>
        <w:pStyle w:val="ListBullet"/>
      </w:pPr>
      <w:r>
        <w:t>And the edge survives — risk-adjusted performance holds up out-of-sample across two very different regimes, including the dot-com bust and the financial crisis.</w:t>
      </w:r>
    </w:p>
    <w:p>
      <w:pPr>
        <w:pStyle w:val="ListBullet"/>
      </w:pPr>
      <w:r>
        <w:t>So to wrap up: three economically-distinct, uncorrelated signals, each matched to the right sector, tuned only on in-sample data, validated honestly out-of-sample.</w:t>
      </w:r>
    </w:p>
    <w:p>
      <w:pPr>
        <w:pStyle w:val="ListBullet"/>
      </w:pPr>
      <w:r>
        <w:t>The result is a strategy that competes on returns but clearly wins on downside protection — and it's all built in pure NumPy.</w:t>
      </w:r>
    </w:p>
    <w:p>
      <w:pPr>
        <w:pStyle w:val="ListBullet"/>
      </w:pPr>
      <w:r>
        <w:t>Thank you — we're happy to take your questions.</w:t>
      </w:r>
    </w:p>
    <w:p>
      <w:r>
        <w:rPr>
          <w:b/>
        </w:rPr>
        <w:t xml:space="preserve">Handover: </w:t>
      </w:r>
      <w:r>
        <w:rPr>
          <w:i/>
        </w:rPr>
        <w:t>Open the floor for the 10-minute defense.</w:t>
      </w:r>
    </w:p>
    <w:p>
      <w:pPr>
        <w:pStyle w:val="Heading1"/>
      </w:pPr>
      <w:r>
        <w:t>DEFENSE / LIKELY Q&amp;A PREP</w:t>
      </w:r>
    </w:p>
    <w:p>
      <w:r>
        <w:rPr>
          <w:i/>
        </w:rPr>
        <w:t>[each answer tagged with the owner who should field it]</w:t>
      </w:r>
    </w:p>
    <w:p>
      <w:pPr>
        <w:pStyle w:val="ListBullet"/>
      </w:pPr>
      <w:r>
        <w:rPr>
          <w:b/>
        </w:rPr>
        <w:t xml:space="preserve">Q: Why Sortino not Sharpe? </w:t>
      </w:r>
      <w:r>
        <w:rPr>
          <w:b/>
          <w:i/>
        </w:rPr>
        <w:t xml:space="preserve">[Flo] </w:t>
      </w:r>
    </w:p>
    <w:p>
      <w:pPr>
        <w:pStyle w:val="ListBullet2"/>
      </w:pPr>
      <w:r>
        <w:t>Downside risk is what investors actually fear. Sortino penalises only downside deviation, so a strategy that cuts large losses isn't punished for harmless upside volatility — it directly targets what matters.</w:t>
      </w:r>
    </w:p>
    <w:p>
      <w:pPr>
        <w:pStyle w:val="ListBullet"/>
      </w:pPr>
      <w:r>
        <w:rPr>
          <w:b/>
        </w:rPr>
        <w:t xml:space="preserve">Q: Why is OOS2 (2000-2009) BEFORE the in-sample window? </w:t>
      </w:r>
      <w:r>
        <w:rPr>
          <w:b/>
          <w:i/>
        </w:rPr>
        <w:t xml:space="preserve">[Philip] </w:t>
      </w:r>
    </w:p>
    <w:p>
      <w:pPr>
        <w:pStyle w:val="ListBullet2"/>
      </w:pPr>
      <w:r>
        <w:t>It's data the optimisation never saw and a totally different regime — dot-com bust and the GFC. Testing on an earlier, harder regime is a more genuine stress test than just extending forward in time.</w:t>
      </w:r>
    </w:p>
    <w:p>
      <w:pPr>
        <w:pStyle w:val="ListBullet"/>
      </w:pPr>
      <w:r>
        <w:rPr>
          <w:b/>
        </w:rPr>
        <w:t xml:space="preserve">Q: How is look-ahead bias avoided? </w:t>
      </w:r>
      <w:r>
        <w:rPr>
          <w:b/>
          <w:i/>
        </w:rPr>
        <w:t xml:space="preserve">[Daanish] </w:t>
      </w:r>
    </w:p>
    <w:p>
      <w:pPr>
        <w:pStyle w:val="ListBullet2"/>
      </w:pPr>
      <w:r>
        <w:t>Parameters are frozen on the in-sample window before we touch any out-of-sample data, and every signal is lagged one day — today's signal only earns tomorrow's return, so we never trade on information we wouldn't have had.</w:t>
      </w:r>
    </w:p>
    <w:p>
      <w:pPr>
        <w:pStyle w:val="ListBullet"/>
      </w:pPr>
      <w:r>
        <w:rPr>
          <w:b/>
        </w:rPr>
        <w:t xml:space="preserve">Q: Why no transaction costs? </w:t>
      </w:r>
      <w:r>
        <w:rPr>
          <w:b/>
          <w:i/>
        </w:rPr>
        <w:t xml:space="preserve">[Walid] </w:t>
      </w:r>
    </w:p>
    <w:p>
      <w:pPr>
        <w:pStyle w:val="ListBullet2"/>
      </w:pPr>
      <w:r>
        <w:t>It's a confirmed scope decision — we report gross returns. Our signals are low-turnover because of the long windows, so costs wouldn't change the economic conclusion.</w:t>
      </w:r>
    </w:p>
    <w:p>
      <w:pPr>
        <w:pStyle w:val="ListBullet"/>
      </w:pPr>
      <w:r>
        <w:rPr>
          <w:b/>
        </w:rPr>
        <w:t xml:space="preserve">Q: What does the Deflated Sharpe prove? </w:t>
      </w:r>
      <w:r>
        <w:rPr>
          <w:b/>
          <w:i/>
        </w:rPr>
        <w:t xml:space="preserve">[Flo] </w:t>
      </w:r>
    </w:p>
    <w:p>
      <w:pPr>
        <w:pStyle w:val="ListBullet2"/>
      </w:pPr>
      <w:r>
        <w:t>It corrects the Sharpe for how many parameter combinations we tried. Near 100 percent means the edge is real skill, not just the best of many lucky trials — above 95 percent we treat as genuine.</w:t>
      </w:r>
    </w:p>
    <w:p>
      <w:pPr>
        <w:pStyle w:val="ListBullet"/>
      </w:pPr>
      <w:r>
        <w:rPr>
          <w:b/>
        </w:rPr>
        <w:t xml:space="preserve">Q: Why ETFs not single stocks? </w:t>
      </w:r>
      <w:r>
        <w:rPr>
          <w:b/>
          <w:i/>
        </w:rPr>
        <w:t xml:space="preserve">[Daanish] </w:t>
      </w:r>
    </w:p>
    <w:p>
      <w:pPr>
        <w:pStyle w:val="ListBullet2"/>
      </w:pPr>
      <w:r>
        <w:t>ETFs remove single-stock idiosyncratic risk. We want to capture the sector cycle, not company-specific noise, so a basket is the cleaner exposure.</w:t>
      </w:r>
    </w:p>
    <w:p>
      <w:pPr>
        <w:pStyle w:val="ListBullet"/>
      </w:pPr>
      <w:r>
        <w:rPr>
          <w:b/>
        </w:rPr>
        <w:t xml:space="preserve">Q: What if a signal fails out-of-sample? </w:t>
      </w:r>
      <w:r>
        <w:rPr>
          <w:b/>
          <w:i/>
        </w:rPr>
        <w:t xml:space="preserve">[Philip] </w:t>
      </w:r>
    </w:p>
    <w:p>
      <w:pPr>
        <w:pStyle w:val="ListBullet2"/>
      </w:pPr>
      <w:r>
        <w:t>The three signals are structurally uncorrelated — trend, mean-reversion and breakout — so the basket diversifies and one weak signal doesn't sink it. And we'd rather report an honest out-of-sample result than overfit to make it look good.</w:t>
      </w:r>
    </w:p>
    <w:p>
      <w:pPr>
        <w:pStyle w:val="ListBullet"/>
      </w:pPr>
      <w:r>
        <w:rPr>
          <w:b/>
        </w:rPr>
        <w:t xml:space="preserve">Q: Why these three signal families? </w:t>
      </w:r>
      <w:r>
        <w:rPr>
          <w:b/>
          <w:i/>
        </w:rPr>
        <w:t xml:space="preserve">[Daanish / Walid] </w:t>
      </w:r>
    </w:p>
    <w:p>
      <w:pPr>
        <w:pStyle w:val="ListBullet2"/>
      </w:pPr>
      <w:r>
        <w:t>They capture three distinct, economically-motivated return mechanisms — trend-following, mean-reversion and breakout — that tend to be uncorrelated, so combining them smooths the overall ride.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