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1456" w:rsidRDefault="00F71456">
      <w:pPr>
        <w:spacing w:after="0" w:line="236" w:lineRule="auto"/>
      </w:pPr>
    </w:p>
    <w:tbl>
      <w:tblPr>
        <w:tblpPr w:leftFromText="180" w:rightFromText="180" w:vertAnchor="page" w:horzAnchor="page" w:tblpX="820" w:tblpY="361"/>
        <w:tblW w:w="22364" w:type="dxa"/>
        <w:tblLook w:val="04A0" w:firstRow="1" w:lastRow="0" w:firstColumn="1" w:lastColumn="0" w:noHBand="0" w:noVBand="1"/>
      </w:tblPr>
      <w:tblGrid>
        <w:gridCol w:w="4211"/>
        <w:gridCol w:w="12474"/>
        <w:gridCol w:w="5679"/>
      </w:tblGrid>
      <w:tr w:rsidR="00F71456" w:rsidTr="00F71456">
        <w:trPr>
          <w:trHeight w:val="629"/>
        </w:trPr>
        <w:tc>
          <w:tcPr>
            <w:tcW w:w="4211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71456" w:rsidRDefault="00F71456" w:rsidP="00F71456">
            <w:pPr>
              <w:spacing w:after="18" w:line="236" w:lineRule="auto"/>
              <w:rPr>
                <w:rFonts w:ascii="Calibri" w:hAnsi="Calibri"/>
                <w:b/>
                <w:color w:val="FFFFFF"/>
                <w:sz w:val="17"/>
              </w:rPr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Namw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>:              Daanish Muzaffar</w:t>
            </w:r>
          </w:p>
          <w:p w:rsidR="00F71456" w:rsidRDefault="00F71456" w:rsidP="00F71456">
            <w:pPr>
              <w:spacing w:after="18" w:line="23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Matriculation: 7259472</w:t>
            </w:r>
          </w:p>
        </w:tc>
        <w:tc>
          <w:tcPr>
            <w:tcW w:w="12474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71456" w:rsidRDefault="00F71456" w:rsidP="00F71456">
            <w:pPr>
              <w:spacing w:after="2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Portfolio Insurance and Structured Product Pricing on Rheinmetall AG</w:t>
            </w:r>
          </w:p>
          <w:p w:rsidR="00F71456" w:rsidRDefault="00F71456" w:rsidP="00F71456">
            <w:pPr>
              <w:spacing w:after="0" w:line="236" w:lineRule="auto"/>
              <w:jc w:val="center"/>
            </w:pPr>
            <w:r>
              <w:rPr>
                <w:rFonts w:ascii="Calibri" w:hAnsi="Calibri"/>
                <w:color w:val="FFFFFF"/>
                <w:sz w:val="16"/>
              </w:rPr>
              <w:t>Eberhard Karls Universität Tübingen  ·  B401: Continuous-Time Derivatives Pricing  ·  Summer Term 2026</w:t>
            </w:r>
          </w:p>
        </w:tc>
        <w:tc>
          <w:tcPr>
            <w:tcW w:w="5679" w:type="dxa"/>
            <w:shd w:val="clear" w:color="auto" w:fill="8B1A1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71456" w:rsidRDefault="00F71456" w:rsidP="00F71456"/>
        </w:tc>
      </w:tr>
    </w:tbl>
    <w:p w:rsidR="00F71456" w:rsidRDefault="00F71456">
      <w:pPr>
        <w:spacing w:after="0" w:line="236" w:lineRule="auto"/>
      </w:pPr>
    </w:p>
    <w:p w:rsidR="00F71456" w:rsidRDefault="00F71456">
      <w:pPr>
        <w:keepNext/>
        <w:pBdr>
          <w:bottom w:val="single" w:sz="8" w:space="0" w:color="8B1A1A"/>
        </w:pBdr>
        <w:spacing w:before="6" w:after="7" w:line="236" w:lineRule="auto"/>
        <w:rPr>
          <w:rFonts w:ascii="Calibri" w:hAnsi="Calibri"/>
          <w:b/>
          <w:color w:val="8B1A1A"/>
          <w:sz w:val="20"/>
        </w:rPr>
        <w:sectPr w:rsidR="00F71456" w:rsidSect="00034616">
          <w:type w:val="continuous"/>
          <w:pgSz w:w="23811" w:h="16838"/>
          <w:pgMar w:top="567" w:right="567" w:bottom="567" w:left="567" w:header="720" w:footer="720" w:gutter="0"/>
          <w:cols w:num="4" w:space="283"/>
          <w:docGrid w:linePitch="360"/>
        </w:sectPr>
      </w:pPr>
    </w:p>
    <w:p w:rsidR="009C0B6E" w:rsidRDefault="00000000">
      <w:pPr>
        <w:keepNext/>
        <w:pBdr>
          <w:bottom w:val="single" w:sz="8" w:space="0" w:color="8B1A1A"/>
        </w:pBdr>
        <w:spacing w:before="6" w:after="7" w:line="236" w:lineRule="auto"/>
      </w:pPr>
      <w:r>
        <w:rPr>
          <w:rFonts w:ascii="Calibri" w:hAnsi="Calibri"/>
          <w:b/>
          <w:color w:val="8B1A1A"/>
          <w:sz w:val="20"/>
        </w:rPr>
        <w:t>PART 1 — DESIGNING CERTIFICATES</w:t>
      </w:r>
    </w:p>
    <w:p w:rsidR="009C0B6E" w:rsidRDefault="00000000">
      <w:pPr>
        <w:keepNext/>
        <w:spacing w:before="4" w:after="4" w:line="236" w:lineRule="auto"/>
      </w:pPr>
      <w:r>
        <w:rPr>
          <w:rFonts w:ascii="Calibri" w:hAnsi="Calibri"/>
          <w:b/>
          <w:color w:val="8B1A1A"/>
          <w:sz w:val="17"/>
        </w:rPr>
        <w:t>Task I: Investor Profile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Target: German retail saver aged 40–60, approaching retirement, holding pension-fund and real-estate savings. Seeks satellite equity exposure to European defence (NATO budget commitments, Germany's €100bn Sondervermögen) but cannot tolerate direct RHM.DE single-stock risk — σ=54.2% annualised far exceeds a conservative retail risk ceiling. A capped capital-protected participation note provides structured upside with a nominal floor at maturity.</w:t>
      </w:r>
    </w:p>
    <w:p w:rsidR="009C0B6E" w:rsidRDefault="00000000">
      <w:pPr>
        <w:shd w:val="clear" w:color="auto" w:fill="EFEFEF"/>
        <w:spacing w:after="3" w:line="236" w:lineRule="auto"/>
      </w:pPr>
      <w:r>
        <w:rPr>
          <w:rFonts w:ascii="Calibri" w:hAnsi="Calibri"/>
          <w:b/>
          <w:color w:val="111111"/>
          <w:sz w:val="16"/>
        </w:rPr>
        <w:t>RHM.DE Volatility (as of 01 Jun 2026)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5"/>
        <w:gridCol w:w="2324"/>
      </w:tblGrid>
      <w:tr w:rsidR="009C0B6E">
        <w:trPr>
          <w:trHeight w:val="238"/>
        </w:trPr>
        <w:tc>
          <w:tcPr>
            <w:tcW w:w="290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Estimator</w:t>
            </w:r>
          </w:p>
        </w:tc>
        <w:tc>
          <w:tcPr>
            <w:tcW w:w="232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Ann. vol</w:t>
            </w:r>
          </w:p>
        </w:tc>
      </w:tr>
      <w:tr w:rsidR="009C0B6E">
        <w:trPr>
          <w:trHeight w:val="238"/>
        </w:trPr>
        <w:tc>
          <w:tcPr>
            <w:tcW w:w="290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HV-30d</w:t>
            </w:r>
          </w:p>
        </w:tc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54.41%</w:t>
            </w:r>
          </w:p>
        </w:tc>
      </w:tr>
      <w:tr w:rsidR="009C0B6E">
        <w:trPr>
          <w:trHeight w:val="238"/>
        </w:trPr>
        <w:tc>
          <w:tcPr>
            <w:tcW w:w="290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HV-60d</w:t>
            </w:r>
          </w:p>
        </w:tc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54.09%</w:t>
            </w:r>
          </w:p>
        </w:tc>
      </w:tr>
      <w:tr w:rsidR="009C0B6E">
        <w:trPr>
          <w:trHeight w:val="238"/>
        </w:trPr>
        <w:tc>
          <w:tcPr>
            <w:tcW w:w="290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HV-90d</w:t>
            </w:r>
          </w:p>
        </w:tc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50.38%</w:t>
            </w:r>
          </w:p>
        </w:tc>
      </w:tr>
      <w:tr w:rsidR="009C0B6E">
        <w:trPr>
          <w:trHeight w:val="238"/>
        </w:trPr>
        <w:tc>
          <w:tcPr>
            <w:tcW w:w="290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HV-252d</w:t>
            </w:r>
          </w:p>
        </w:tc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45.57%</w:t>
            </w:r>
          </w:p>
        </w:tc>
      </w:tr>
      <w:tr w:rsidR="009C0B6E">
        <w:trPr>
          <w:trHeight w:val="238"/>
        </w:trPr>
        <w:tc>
          <w:tcPr>
            <w:tcW w:w="290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EWMA λ=0.94</w:t>
            </w:r>
          </w:p>
        </w:tc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54.17%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II: Product Design</w:t>
      </w:r>
    </w:p>
    <w:p w:rsidR="009C0B6E" w:rsidRDefault="00000000">
      <w:pPr>
        <w:spacing w:after="4" w:line="236" w:lineRule="auto"/>
      </w:pPr>
      <w:r>
        <w:rPr>
          <w:rFonts w:ascii="Calibri" w:hAnsi="Calibri"/>
          <w:b/>
          <w:color w:val="111111"/>
          <w:sz w:val="16"/>
        </w:rPr>
        <w:t xml:space="preserve">Product: </w:t>
      </w:r>
      <w:r>
        <w:rPr>
          <w:rFonts w:ascii="Calibri" w:hAnsi="Calibri"/>
          <w:color w:val="111111"/>
          <w:sz w:val="16"/>
        </w:rPr>
        <w:t>Capped Capital Protected Participation Note — RHM.DE</w:t>
      </w:r>
    </w:p>
    <w:p w:rsidR="009C0B6E" w:rsidRDefault="00000000">
      <w:pPr>
        <w:spacing w:after="5" w:line="236" w:lineRule="auto"/>
      </w:pPr>
      <w:r>
        <w:rPr>
          <w:rFonts w:ascii="Calibri" w:hAnsi="Calibri"/>
          <w:b/>
          <w:color w:val="111111"/>
          <w:sz w:val="16"/>
        </w:rPr>
        <w:t xml:space="preserve">Structure: </w:t>
      </w:r>
      <w:r>
        <w:rPr>
          <w:rFonts w:ascii="Calibri" w:hAnsi="Calibri"/>
          <w:color w:val="111111"/>
          <w:sz w:val="16"/>
        </w:rPr>
        <w:t>ZCB + 93.4% × [</w:t>
      </w:r>
      <w:proofErr w:type="gramStart"/>
      <w:r>
        <w:rPr>
          <w:rFonts w:ascii="Calibri" w:hAnsi="Calibri"/>
          <w:color w:val="111111"/>
          <w:sz w:val="16"/>
        </w:rPr>
        <w:t>Call(</w:t>
      </w:r>
      <w:proofErr w:type="gramEnd"/>
      <w:r>
        <w:rPr>
          <w:rFonts w:ascii="Calibri" w:hAnsi="Calibri"/>
          <w:color w:val="111111"/>
          <w:sz w:val="16"/>
        </w:rPr>
        <w:t xml:space="preserve">1,207) − </w:t>
      </w:r>
      <w:proofErr w:type="gramStart"/>
      <w:r>
        <w:rPr>
          <w:rFonts w:ascii="Calibri" w:hAnsi="Calibri"/>
          <w:color w:val="111111"/>
          <w:sz w:val="16"/>
        </w:rPr>
        <w:t>Call(</w:t>
      </w:r>
      <w:proofErr w:type="gramEnd"/>
      <w:r>
        <w:rPr>
          <w:rFonts w:ascii="Calibri" w:hAnsi="Calibri"/>
          <w:color w:val="111111"/>
          <w:sz w:val="16"/>
        </w:rPr>
        <w:t>1,569)]</w:t>
      </w:r>
    </w:p>
    <w:p w:rsidR="009C0B6E" w:rsidRDefault="00000000">
      <w:pPr>
        <w:spacing w:after="4" w:line="236" w:lineRule="auto"/>
      </w:pPr>
      <w:r>
        <w:rPr>
          <w:rFonts w:ascii="Calibri" w:hAnsi="Calibri"/>
          <w:i/>
          <w:color w:val="666666"/>
          <w:sz w:val="15"/>
        </w:rPr>
        <w:t>S₀=EUR 1,207 | T=3 y | σ=54.17% | r(3y)=2.62% | q=0.60%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9C0B6E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Component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EUR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ZCB present value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1,115.79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ATM call (K=1,207)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451.04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Cap call (K=1,569)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353.43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Net spread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97.61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Participation α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93.4%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Max gain at cap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+28.0%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ZCB guarantees EUR 1,207 at maturity. The bull call spread delivers 93.4% participation up to the 30% cap; the short cap call finances the higher participation rate by monetising extreme upside.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III: Payoff Profile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Outperforms direct stock in falling / flat markets; underperforms above EUR 1,384 where the cap binds.</w:t>
      </w: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667273" cy="14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off_profi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2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1 — Certificate vs stock payoff at maturity.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0"/>
        <w:gridCol w:w="1230"/>
        <w:gridCol w:w="1230"/>
        <w:gridCol w:w="1538"/>
      </w:tblGrid>
      <w:tr w:rsidR="009C0B6E">
        <w:trPr>
          <w:trHeight w:val="238"/>
        </w:trPr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S_T</w:t>
            </w:r>
          </w:p>
        </w:tc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CPN</w:t>
            </w:r>
          </w:p>
        </w:tc>
        <w:tc>
          <w:tcPr>
            <w:tcW w:w="12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Stock</w:t>
            </w:r>
          </w:p>
        </w:tc>
        <w:tc>
          <w:tcPr>
            <w:tcW w:w="153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Region</w:t>
            </w:r>
          </w:p>
        </w:tc>
      </w:tr>
      <w:tr w:rsidR="009C0B6E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844.9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1,207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844.9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Protected</w:t>
            </w:r>
          </w:p>
        </w:tc>
      </w:tr>
      <w:tr w:rsidR="009C0B6E">
        <w:trPr>
          <w:trHeight w:val="238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1,207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1,207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1,207</w:t>
            </w:r>
          </w:p>
        </w:tc>
        <w:tc>
          <w:tcPr>
            <w:tcW w:w="15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Floor</w:t>
            </w:r>
          </w:p>
        </w:tc>
      </w:tr>
      <w:tr w:rsidR="009C0B6E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1,312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1,305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1,312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Participating</w:t>
            </w:r>
          </w:p>
        </w:tc>
      </w:tr>
      <w:tr w:rsidR="009C0B6E">
        <w:trPr>
          <w:trHeight w:val="238"/>
        </w:trPr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1,569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1,545</w:t>
            </w:r>
          </w:p>
        </w:tc>
        <w:tc>
          <w:tcPr>
            <w:tcW w:w="12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1,569</w:t>
            </w:r>
          </w:p>
        </w:tc>
        <w:tc>
          <w:tcPr>
            <w:tcW w:w="153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At cap</w:t>
            </w:r>
          </w:p>
        </w:tc>
      </w:tr>
      <w:tr w:rsidR="009C0B6E">
        <w:trPr>
          <w:trHeight w:val="238"/>
        </w:trPr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2,050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1,545</w:t>
            </w:r>
          </w:p>
        </w:tc>
        <w:tc>
          <w:tcPr>
            <w:tcW w:w="12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2,050</w:t>
            </w:r>
          </w:p>
        </w:tc>
        <w:tc>
          <w:tcPr>
            <w:tcW w:w="153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Capped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IV: Market Size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16"/>
        <w:gridCol w:w="1206"/>
        <w:gridCol w:w="1206"/>
      </w:tblGrid>
      <w:tr w:rsidR="009C0B6E">
        <w:trPr>
          <w:trHeight w:val="238"/>
        </w:trPr>
        <w:tc>
          <w:tcPr>
            <w:tcW w:w="281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Segment</w:t>
            </w:r>
          </w:p>
        </w:tc>
        <w:tc>
          <w:tcPr>
            <w:tcW w:w="120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EUR bn</w:t>
            </w:r>
          </w:p>
        </w:tc>
        <w:tc>
          <w:tcPr>
            <w:tcW w:w="120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Share</w:t>
            </w:r>
          </w:p>
        </w:tc>
      </w:tr>
      <w:tr w:rsidR="009C0B6E">
        <w:trPr>
          <w:trHeight w:val="238"/>
        </w:trPr>
        <w:tc>
          <w:tcPr>
            <w:tcW w:w="281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Total structured products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112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100%</w:t>
            </w:r>
          </w:p>
        </w:tc>
      </w:tr>
      <w:tr w:rsidR="009C0B6E">
        <w:trPr>
          <w:trHeight w:val="238"/>
        </w:trPr>
        <w:tc>
          <w:tcPr>
            <w:tcW w:w="281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Kapitalschutz (BSW 2023)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4.26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3.8%</w:t>
            </w:r>
          </w:p>
        </w:tc>
      </w:tr>
      <w:tr w:rsidR="009C0B6E">
        <w:trPr>
          <w:trHeight w:val="238"/>
        </w:trPr>
        <w:tc>
          <w:tcPr>
            <w:tcW w:w="281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Participation notes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2.34</w:t>
            </w:r>
          </w:p>
        </w:tc>
        <w:tc>
          <w:tcPr>
            <w:tcW w:w="120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~55%</w:t>
            </w:r>
          </w:p>
        </w:tc>
      </w:tr>
      <w:tr w:rsidR="009C0B6E">
        <w:trPr>
          <w:trHeight w:val="238"/>
        </w:trPr>
        <w:tc>
          <w:tcPr>
            <w:tcW w:w="281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Avg. issue size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0.033</w:t>
            </w:r>
          </w:p>
        </w:tc>
        <w:tc>
          <w:tcPr>
            <w:tcW w:w="120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~130 issues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Addressable market for a single-name RHM.DE capital-protected note: EUR 200–300 mn on EUWAX, based on comparable DDV-member issuances.</w:t>
      </w:r>
    </w:p>
    <w:p w:rsidR="009C0B6E" w:rsidRDefault="00000000">
      <w:pPr>
        <w:keepNext/>
        <w:pBdr>
          <w:bottom w:val="single" w:sz="8" w:space="0" w:color="8B1A1A"/>
        </w:pBdr>
        <w:spacing w:before="6" w:after="7" w:line="236" w:lineRule="auto"/>
      </w:pPr>
      <w:r>
        <w:rPr>
          <w:rFonts w:ascii="Calibri" w:hAnsi="Calibri"/>
          <w:b/>
          <w:color w:val="8B1A1A"/>
          <w:sz w:val="20"/>
        </w:rPr>
        <w:t>PART 2 — VALUATION OF CERTIFICATES</w:t>
      </w:r>
    </w:p>
    <w:p w:rsidR="009C0B6E" w:rsidRDefault="00000000">
      <w:pPr>
        <w:shd w:val="clear" w:color="auto" w:fill="EFEFEF"/>
        <w:spacing w:after="3" w:line="236" w:lineRule="auto"/>
      </w:pPr>
      <w:r>
        <w:rPr>
          <w:rFonts w:ascii="Calibri" w:hAnsi="Calibri"/>
          <w:b/>
          <w:color w:val="111111"/>
          <w:sz w:val="16"/>
        </w:rPr>
        <w:t>DU2076 Bonus Certificate with Cap on RHM.DE  (DZ BANK)</w:t>
      </w:r>
    </w:p>
    <w:p w:rsidR="009C0B6E" w:rsidRDefault="00000000">
      <w:pPr>
        <w:shd w:val="clear" w:color="auto" w:fill="EFEFEF"/>
        <w:spacing w:after="3" w:line="236" w:lineRule="auto"/>
      </w:pPr>
      <w:r>
        <w:rPr>
          <w:rFonts w:ascii="Calibri" w:hAnsi="Calibri"/>
          <w:color w:val="111111"/>
          <w:sz w:val="16"/>
        </w:rPr>
        <w:t>Decomposition: Down-and-Out Put + Capped Forward</w:t>
      </w:r>
    </w:p>
    <w:p w:rsidR="009C0B6E" w:rsidRDefault="00000000">
      <w:pPr>
        <w:shd w:val="clear" w:color="auto" w:fill="EFEFEF"/>
        <w:spacing w:after="3" w:line="236" w:lineRule="auto"/>
      </w:pPr>
      <w:r>
        <w:rPr>
          <w:rFonts w:ascii="Calibri" w:hAnsi="Calibri"/>
          <w:color w:val="111111"/>
          <w:sz w:val="16"/>
        </w:rPr>
        <w:t>B=EUR 1,050  |  K=EUR 2,000  |  T≈1.80 y  |  S₀=EUR 1,707.93</w:t>
      </w:r>
    </w:p>
    <w:p w:rsidR="009C0B6E" w:rsidRDefault="00000000">
      <w:pPr>
        <w:shd w:val="clear" w:color="auto" w:fill="EFEFEF"/>
        <w:spacing w:after="6" w:line="236" w:lineRule="auto"/>
      </w:pPr>
      <w:r>
        <w:rPr>
          <w:rFonts w:ascii="Calibri" w:hAnsi="Calibri"/>
          <w:color w:val="111111"/>
          <w:sz w:val="16"/>
        </w:rPr>
        <w:t>Observation: 4 Sep 2025 – 18 Jun 2027  |  Market prices: 1,236–1,636 EUR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V: Valuation — CRR Binomial Tree (N=200)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183 trading days (4 Sep 2025 – 1 Jun 2026); daily ECB Svensson rate matched to remaining maturity (mean r=2.14%, range 1.87–2.59%). Tree root on day 1: V_cert=EUR 1,558.89 vs market EUR 1,635.75. EWMA σ=44.27% (λ=0.94) vs back-solved implied vol σ_IV=37.77%.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1452"/>
        <w:gridCol w:w="1452"/>
      </w:tblGrid>
      <w:tr w:rsidR="009C0B6E">
        <w:trPr>
          <w:trHeight w:val="238"/>
        </w:trPr>
        <w:tc>
          <w:tcPr>
            <w:tcW w:w="2324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w="145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EWMA</w:t>
            </w:r>
          </w:p>
        </w:tc>
        <w:tc>
          <w:tcPr>
            <w:tcW w:w="145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Implied Vol</w:t>
            </w:r>
          </w:p>
        </w:tc>
      </w:tr>
      <w:tr w:rsidR="009C0B6E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Mean Error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−85.54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−8.89</w:t>
            </w:r>
          </w:p>
        </w:tc>
      </w:tr>
      <w:tr w:rsidR="009C0B6E">
        <w:trPr>
          <w:trHeight w:val="238"/>
        </w:trPr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MAE (EUR)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94.49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9.82</w:t>
            </w:r>
          </w:p>
        </w:tc>
      </w:tr>
      <w:tr w:rsidR="009C0B6E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RMSE (EUR)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108.92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12.37</w:t>
            </w:r>
          </w:p>
        </w:tc>
      </w:tr>
      <w:tr w:rsidR="009C0B6E">
        <w:trPr>
          <w:trHeight w:val="238"/>
        </w:trPr>
        <w:tc>
          <w:tcPr>
            <w:tcW w:w="2324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MAPE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6.11%</w:t>
            </w:r>
          </w:p>
        </w:tc>
        <w:tc>
          <w:tcPr>
            <w:tcW w:w="145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0.64%</w:t>
            </w:r>
          </w:p>
        </w:tc>
      </w:tr>
      <w:tr w:rsidR="009C0B6E">
        <w:trPr>
          <w:trHeight w:val="238"/>
        </w:trPr>
        <w:tc>
          <w:tcPr>
            <w:tcW w:w="232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Mean vol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44.27%</w:t>
            </w:r>
          </w:p>
        </w:tc>
        <w:tc>
          <w:tcPr>
            <w:tcW w:w="145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37.77%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EWMA overestimates volatility relative to the option-implied level (44.27% vs 37.77%), causing systematic underpricing of EUR 85.54 per cert (6.1%). Implied vol reduces the error to EUR 8.89 (0.64%), confirming the CRR model structure is correct.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2"/>
        <w:gridCol w:w="850"/>
        <w:gridCol w:w="765"/>
        <w:gridCol w:w="850"/>
        <w:gridCol w:w="850"/>
        <w:gridCol w:w="850"/>
      </w:tblGrid>
      <w:tr w:rsidR="009C0B6E">
        <w:trPr>
          <w:trHeight w:val="238"/>
        </w:trPr>
        <w:tc>
          <w:tcPr>
            <w:tcW w:w="1062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Date</w:t>
            </w:r>
          </w:p>
        </w:tc>
        <w:tc>
          <w:tcPr>
            <w:tcW w:w="85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RHM (€)</w:t>
            </w:r>
          </w:p>
        </w:tc>
        <w:tc>
          <w:tcPr>
            <w:tcW w:w="76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EWMA σ</w:t>
            </w:r>
          </w:p>
        </w:tc>
        <w:tc>
          <w:tcPr>
            <w:tcW w:w="85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Model (€)</w:t>
            </w:r>
          </w:p>
        </w:tc>
        <w:tc>
          <w:tcPr>
            <w:tcW w:w="85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Mkt (€)</w:t>
            </w:r>
          </w:p>
        </w:tc>
        <w:tc>
          <w:tcPr>
            <w:tcW w:w="85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Error</w:t>
            </w:r>
          </w:p>
        </w:tc>
      </w:tr>
      <w:tr w:rsidR="009C0B6E">
        <w:trPr>
          <w:trHeight w:val="238"/>
        </w:trPr>
        <w:tc>
          <w:tcPr>
            <w:tcW w:w="10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04 Sep 2025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1,707.9</w:t>
            </w:r>
          </w:p>
        </w:tc>
        <w:tc>
          <w:tcPr>
            <w:tcW w:w="76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39.0%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1,558.9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1,635.8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−76.9</w:t>
            </w:r>
          </w:p>
        </w:tc>
      </w:tr>
      <w:tr w:rsidR="009C0B6E">
        <w:trPr>
          <w:trHeight w:val="238"/>
        </w:trPr>
        <w:tc>
          <w:tcPr>
            <w:tcW w:w="10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26 Nov 2025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1,365.7</w:t>
            </w:r>
          </w:p>
        </w:tc>
        <w:tc>
          <w:tcPr>
            <w:tcW w:w="76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52.3%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1,296.9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1,408.5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−111.6</w:t>
            </w:r>
          </w:p>
        </w:tc>
      </w:tr>
      <w:tr w:rsidR="009C0B6E">
        <w:trPr>
          <w:trHeight w:val="238"/>
        </w:trPr>
        <w:tc>
          <w:tcPr>
            <w:tcW w:w="10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17 Nov 2025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1,535.3</w:t>
            </w:r>
          </w:p>
        </w:tc>
        <w:tc>
          <w:tcPr>
            <w:tcW w:w="76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40.3%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1,418.3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1,423.0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−4.7</w:t>
            </w:r>
          </w:p>
        </w:tc>
      </w:tr>
      <w:tr w:rsidR="009C0B6E">
        <w:trPr>
          <w:trHeight w:val="238"/>
        </w:trPr>
        <w:tc>
          <w:tcPr>
            <w:tcW w:w="1062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15 May 2026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1,237.0</w:t>
            </w:r>
          </w:p>
        </w:tc>
        <w:tc>
          <w:tcPr>
            <w:tcW w:w="76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39.5%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1,069.7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1,236.1</w:t>
            </w:r>
          </w:p>
        </w:tc>
        <w:tc>
          <w:tcPr>
            <w:tcW w:w="85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−166.4</w:t>
            </w:r>
          </w:p>
        </w:tc>
      </w:tr>
      <w:tr w:rsidR="009C0B6E">
        <w:trPr>
          <w:trHeight w:val="238"/>
        </w:trPr>
        <w:tc>
          <w:tcPr>
            <w:tcW w:w="106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01 Jun 2026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1,207.0</w:t>
            </w:r>
          </w:p>
        </w:tc>
        <w:tc>
          <w:tcPr>
            <w:tcW w:w="76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54.2%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1,001.8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1,188.4</w:t>
            </w:r>
          </w:p>
        </w:tc>
        <w:tc>
          <w:tcPr>
            <w:tcW w:w="85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−186.6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4" w:line="236" w:lineRule="auto"/>
      </w:pPr>
      <w:r>
        <w:rPr>
          <w:rFonts w:ascii="Calibri" w:hAnsi="Calibri"/>
          <w:i/>
          <w:color w:val="666666"/>
          <w:sz w:val="15"/>
        </w:rPr>
        <w:t>Worst error: 01 Jun 2026 (barrier proximity + vol spike). Best fit: 17 Nov 2025.</w:t>
      </w: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590780" cy="158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ation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78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2 — EWMA model price vs DU2076 market price, Sep 2025 – Jun 2026.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VI: Sensitivity — Greeks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Central finite differences at S=EUR 1,708, T=1.79 y, σ=44.6%, r=2.14%. Cert value at reference: EUR 1,457.77.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3137"/>
      </w:tblGrid>
      <w:tr w:rsidR="009C0B6E">
        <w:trPr>
          <w:trHeight w:val="238"/>
        </w:trPr>
        <w:tc>
          <w:tcPr>
            <w:tcW w:w="104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Greek</w:t>
            </w:r>
          </w:p>
        </w:tc>
        <w:tc>
          <w:tcPr>
            <w:tcW w:w="1045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Key insight</w:t>
            </w:r>
          </w:p>
        </w:tc>
      </w:tr>
      <w:tr w:rsidR="009C0B6E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Delta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0.245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Near capped-forward; low directional exposure</w:t>
            </w:r>
          </w:p>
        </w:tc>
      </w:tr>
      <w:tr w:rsidR="009C0B6E">
        <w:trPr>
          <w:trHeight w:val="238"/>
        </w:trPr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Gamma</w:t>
            </w:r>
          </w:p>
        </w:tc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≈ 0.000</w:t>
            </w:r>
          </w:p>
        </w:tc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Negligible here; spikes negative near barrier</w:t>
            </w:r>
          </w:p>
        </w:tc>
      </w:tr>
      <w:tr w:rsidR="009C0B6E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Vega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−13.55/pp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Negative — vol raises knock-out probability</w:t>
            </w:r>
          </w:p>
        </w:tc>
      </w:tr>
      <w:tr w:rsidR="009C0B6E">
        <w:trPr>
          <w:trHeight w:val="238"/>
        </w:trPr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Theta</w:t>
            </w:r>
          </w:p>
        </w:tc>
        <w:tc>
          <w:tcPr>
            <w:tcW w:w="1045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+0.36/day</w:t>
            </w:r>
          </w:p>
        </w:tc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Positive — time reduces knock-out risk</w:t>
            </w:r>
          </w:p>
        </w:tc>
      </w:tr>
      <w:tr w:rsidR="009C0B6E">
        <w:trPr>
          <w:trHeight w:val="238"/>
        </w:trPr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Rho</w:t>
            </w:r>
          </w:p>
        </w:tc>
        <w:tc>
          <w:tcPr>
            <w:tcW w:w="10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−1.82/pp</w:t>
            </w:r>
          </w:p>
        </w:tc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Higher rates reduce PV of capped forward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030644" cy="14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064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3 — Delta, Gamma, Vega, Theta vs stock price S.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VII: Replicating Portfolio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Dynamic delta-hedging: Δ×S in RHM.DE stock + bond. Equity fraction = Δ×S / Value. As S fell toward B=EUR 1,050 over Sep 2025–Jun 2026, Delta rose toward 1.0 — the cert behaved like a leveraged stock position near the barrier. Near B, fraction exceeds 130%: portfolio goes short bonds, leveraged long stock to hedge the down-and-out put. Above B the fraction falls to near zero (capped forward mode). Barrier breach eliminates the put — no capital floor remains.</w:t>
      </w: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300727" cy="136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ty_fraction_vs_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0727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4 — Equity fraction (Δ×S / Value) vs stock price S.</w:t>
      </w:r>
    </w:p>
    <w:p w:rsidR="009C0B6E" w:rsidRDefault="00000000">
      <w:pPr>
        <w:keepNext/>
        <w:pBdr>
          <w:bottom w:val="single" w:sz="8" w:space="0" w:color="8B1A1A"/>
        </w:pBdr>
        <w:spacing w:before="6" w:after="7" w:line="236" w:lineRule="auto"/>
      </w:pPr>
      <w:r>
        <w:rPr>
          <w:rFonts w:ascii="Calibri" w:hAnsi="Calibri"/>
          <w:b/>
          <w:color w:val="8B1A1A"/>
          <w:sz w:val="20"/>
        </w:rPr>
        <w:t>PART 3 — PORTFOLIO INSURANCE STRATEGY</w:t>
      </w:r>
    </w:p>
    <w:p w:rsidR="009C0B6E" w:rsidRDefault="00000000">
      <w:pPr>
        <w:shd w:val="clear" w:color="auto" w:fill="EFEFEF"/>
        <w:spacing w:after="3" w:line="236" w:lineRule="auto"/>
      </w:pPr>
      <w:r>
        <w:rPr>
          <w:rFonts w:ascii="Calibri" w:hAnsi="Calibri"/>
          <w:b/>
          <w:color w:val="111111"/>
          <w:sz w:val="16"/>
        </w:rPr>
        <w:t>EUR 10,000  |  T*=1 yr  |  S₀=EUR 1,207  |  μ=54.05%  |  σ=39.88%  |  r=3.07%</w:t>
      </w:r>
    </w:p>
    <w:p w:rsidR="009C0B6E" w:rsidRDefault="00000000">
      <w:pPr>
        <w:shd w:val="clear" w:color="auto" w:fill="EFEFEF"/>
        <w:spacing w:after="6" w:line="236" w:lineRule="auto"/>
      </w:pPr>
      <w:r>
        <w:rPr>
          <w:rFonts w:ascii="Calibri" w:hAnsi="Calibri"/>
          <w:color w:val="111111"/>
          <w:sz w:val="16"/>
        </w:rPr>
        <w:t>50,000 GBM paths × 252 steps  |  seed 2026  |  Terminal range: EUR 330–11,233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VIII: Without Risk Management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2091"/>
      </w:tblGrid>
      <w:tr w:rsidR="009C0B6E">
        <w:trPr>
          <w:trHeight w:val="238"/>
        </w:trPr>
        <w:tc>
          <w:tcPr>
            <w:tcW w:w="313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Measure</w:t>
            </w:r>
          </w:p>
        </w:tc>
        <w:tc>
          <w:tcPr>
            <w:tcW w:w="209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Mean log-return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54.03%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Median log-return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54.17%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Std deviation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39.92%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Skewness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0.007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Sharpe ratio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1.277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95% VaR (loss)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11.32%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95% CVaR (loss)</w:t>
            </w:r>
          </w:p>
        </w:tc>
        <w:tc>
          <w:tcPr>
            <w:tcW w:w="209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28.38%</w:t>
            </w:r>
          </w:p>
        </w:tc>
      </w:tr>
      <w:tr w:rsidR="009C0B6E">
        <w:trPr>
          <w:trHeight w:val="238"/>
        </w:trPr>
        <w:tc>
          <w:tcPr>
            <w:tcW w:w="313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P(loss)</w:t>
            </w:r>
          </w:p>
        </w:tc>
        <w:tc>
          <w:tcPr>
            <w:tcW w:w="209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8.7%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Log-returns nearly symmetric (skewness=0.007), consistent with GBM. 91.3% of paths finish above S₀. The unhedged 95% VaR=11.32% is the baseline — counter-intuitively, adding insurance raises this metric (see Task IX).</w:t>
      </w: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300727" cy="136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_unhedg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0727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5 — Terminal wealth distribution, unhedged (50,000 GBM paths).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IX: Portfolio Insurance — Full Grid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(1−α)×stock + α×BS puts (σ=39.88%). In this high-drift regime VaR rises with α: puts expire worthless at the 5th-percentile tail, so premium drag dominates. Higher K (ATM puts) reduces VaR at a given α by paying off in more downside paths.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"/>
        <w:gridCol w:w="747"/>
        <w:gridCol w:w="913"/>
        <w:gridCol w:w="747"/>
        <w:gridCol w:w="747"/>
        <w:gridCol w:w="747"/>
        <w:gridCol w:w="830"/>
      </w:tblGrid>
      <w:tr w:rsidR="009C0B6E">
        <w:trPr>
          <w:trHeight w:val="227"/>
        </w:trPr>
        <w:tc>
          <w:tcPr>
            <w:tcW w:w="49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α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K</w:t>
            </w:r>
          </w:p>
        </w:tc>
        <w:tc>
          <w:tcPr>
            <w:tcW w:w="913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Mean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Sharpe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VaR</w:t>
            </w:r>
          </w:p>
        </w:tc>
        <w:tc>
          <w:tcPr>
            <w:tcW w:w="747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CVaR</w:t>
            </w:r>
          </w:p>
        </w:tc>
        <w:tc>
          <w:tcPr>
            <w:tcW w:w="830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P(loss)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5%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90%S₀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49.44%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1.197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16.01%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22.92%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10.9%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49.50%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1.201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13.63%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22.15%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10.9%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5%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100%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49.56%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1.206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12.14%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21.85%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10.9%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49.63%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1.210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11.19%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21.80%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10.9%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90%S₀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44.52%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1.095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17.27%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19.39%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13.7%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44.66%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1.105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16.00%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16.79%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13.7%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100%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44.79%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1.115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12.97%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16.09%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13.7%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44.93%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1.124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11.06%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15.92%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13.7%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15%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90%S₀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39.28%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0.975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18.20%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22.47%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16.8%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39.49%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0.990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16.07%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18.77%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17.1%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15%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100%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39.70%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1.004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13.67%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15.01%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17.2%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15%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39.92%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1.019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11.02%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11.21%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17.2%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20%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90%S₀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33.98%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0.833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19.87%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22.28%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19.8%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95%S₀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34.32%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0.851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16.07%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19.02%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20.1%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20%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100%</w:t>
            </w:r>
          </w:p>
        </w:tc>
        <w:tc>
          <w:tcPr>
            <w:tcW w:w="91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34.67%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0.869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13.27%</w:t>
            </w:r>
          </w:p>
        </w:tc>
        <w:tc>
          <w:tcPr>
            <w:tcW w:w="747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14.09%</w:t>
            </w:r>
          </w:p>
        </w:tc>
        <w:tc>
          <w:tcPr>
            <w:tcW w:w="83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20.3%</w:t>
            </w:r>
          </w:p>
        </w:tc>
      </w:tr>
      <w:tr w:rsidR="009C0B6E">
        <w:trPr>
          <w:trHeight w:val="227"/>
        </w:trPr>
        <w:tc>
          <w:tcPr>
            <w:tcW w:w="49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3"/>
              </w:rPr>
              <w:t>20%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105%</w:t>
            </w:r>
          </w:p>
        </w:tc>
        <w:tc>
          <w:tcPr>
            <w:tcW w:w="913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35.02%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0.887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10.72%</w:t>
            </w:r>
          </w:p>
        </w:tc>
        <w:tc>
          <w:tcPr>
            <w:tcW w:w="747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11.05%</w:t>
            </w:r>
          </w:p>
        </w:tc>
        <w:tc>
          <w:tcPr>
            <w:tcW w:w="830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3"/>
              </w:rPr>
              <w:t>20.4%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3717632" cy="136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uranc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632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6E" w:rsidRDefault="00000000">
      <w:pPr>
        <w:spacing w:after="10" w:line="236" w:lineRule="auto"/>
        <w:jc w:val="center"/>
      </w:pPr>
      <w:r>
        <w:rPr>
          <w:rFonts w:ascii="Calibri" w:hAnsi="Calibri"/>
          <w:i/>
          <w:color w:val="666666"/>
          <w:sz w:val="15"/>
        </w:rPr>
        <w:t>Fig. 6 — 95% VaR (left) and mean return (right) across α and K.</w:t>
      </w: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X: Stress Scenarios  (α=10%, K=95%S₀)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Only Vol −5pp is VaR-compliant (13.62% &lt; 15%). The −20% mid-horizon shock is the dominant stress driver — it triples P(loss) to 29.8% and collapses mean return to 24.82%, far beyond pure volatility perturbations. This confirms path dependency (entry-point timing) matters more than vol estimation error.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8"/>
        <w:gridCol w:w="941"/>
        <w:gridCol w:w="941"/>
        <w:gridCol w:w="941"/>
        <w:gridCol w:w="836"/>
      </w:tblGrid>
      <w:tr w:rsidR="009C0B6E">
        <w:trPr>
          <w:trHeight w:val="238"/>
        </w:trPr>
        <w:tc>
          <w:tcPr>
            <w:tcW w:w="1568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Scenario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Mean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VaR 95%</w:t>
            </w:r>
          </w:p>
        </w:tc>
        <w:tc>
          <w:tcPr>
            <w:tcW w:w="94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CVaR 95%</w:t>
            </w:r>
          </w:p>
        </w:tc>
        <w:tc>
          <w:tcPr>
            <w:tcW w:w="83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P(loss)</w:t>
            </w:r>
          </w:p>
        </w:tc>
      </w:tr>
      <w:tr w:rsidR="009C0B6E">
        <w:trPr>
          <w:trHeight w:val="238"/>
        </w:trPr>
        <w:tc>
          <w:tcPr>
            <w:tcW w:w="156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Baseline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44.66%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16.00%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16.79%</w:t>
            </w:r>
          </w:p>
        </w:tc>
        <w:tc>
          <w:tcPr>
            <w:tcW w:w="83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13.7%</w:t>
            </w:r>
          </w:p>
        </w:tc>
      </w:tr>
      <w:tr w:rsidR="009C0B6E">
        <w:trPr>
          <w:trHeight w:val="238"/>
        </w:trPr>
        <w:tc>
          <w:tcPr>
            <w:tcW w:w="156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Vol +5 pp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44.52%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16.77%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19.40%</w:t>
            </w:r>
          </w:p>
        </w:tc>
        <w:tc>
          <w:tcPr>
            <w:tcW w:w="83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13.7%</w:t>
            </w:r>
          </w:p>
        </w:tc>
      </w:tr>
      <w:tr w:rsidR="009C0B6E">
        <w:trPr>
          <w:trHeight w:val="238"/>
        </w:trPr>
        <w:tc>
          <w:tcPr>
            <w:tcW w:w="1568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Vol −5 pp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44.84%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13.62%</w:t>
            </w:r>
          </w:p>
        </w:tc>
        <w:tc>
          <w:tcPr>
            <w:tcW w:w="94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14.73%</w:t>
            </w:r>
          </w:p>
        </w:tc>
        <w:tc>
          <w:tcPr>
            <w:tcW w:w="83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13.7%</w:t>
            </w:r>
          </w:p>
        </w:tc>
      </w:tr>
      <w:tr w:rsidR="009C0B6E">
        <w:trPr>
          <w:trHeight w:val="238"/>
        </w:trPr>
        <w:tc>
          <w:tcPr>
            <w:tcW w:w="1568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−20% shock T/2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24.82%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17.07%</w:t>
            </w:r>
          </w:p>
        </w:tc>
        <w:tc>
          <w:tcPr>
            <w:tcW w:w="94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17.70%</w:t>
            </w:r>
          </w:p>
        </w:tc>
        <w:tc>
          <w:tcPr>
            <w:tcW w:w="83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29.8%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keepNext/>
        <w:spacing w:before="8" w:after="4" w:line="236" w:lineRule="auto"/>
      </w:pPr>
      <w:r>
        <w:rPr>
          <w:rFonts w:ascii="Calibri" w:hAnsi="Calibri"/>
          <w:b/>
          <w:color w:val="8B1A1A"/>
          <w:sz w:val="17"/>
        </w:rPr>
        <w:t>Task XI: Optimal VaR-Constrained Allocation</w:t>
      </w: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Constraint: 95% one-year VaR ≤ 15% at K=95%S₀. Brentq root-finding on VaR(α)=15% (monotone confirmed over α∈[0.1%,40%]).</w:t>
      </w:r>
    </w:p>
    <w:p w:rsidR="009C0B6E" w:rsidRDefault="00000000">
      <w:pPr>
        <w:shd w:val="clear" w:color="auto" w:fill="8B1A1A"/>
        <w:spacing w:before="22" w:after="22" w:line="236" w:lineRule="auto"/>
        <w:jc w:val="center"/>
      </w:pPr>
      <w:r>
        <w:rPr>
          <w:rFonts w:ascii="Calibri" w:hAnsi="Calibri"/>
          <w:b/>
          <w:color w:val="FFFFFF"/>
          <w:sz w:val="17"/>
        </w:rPr>
        <w:t>α* = 7.90%   |   VaR = 15.00%   |   E[r] = 46.73%   |   Sharpe = 1.148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6"/>
        <w:gridCol w:w="1651"/>
        <w:gridCol w:w="1651"/>
      </w:tblGrid>
      <w:tr w:rsidR="009C0B6E">
        <w:trPr>
          <w:trHeight w:val="238"/>
        </w:trPr>
        <w:tc>
          <w:tcPr>
            <w:tcW w:w="1926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Measure</w:t>
            </w:r>
          </w:p>
        </w:tc>
        <w:tc>
          <w:tcPr>
            <w:tcW w:w="165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Unhedged (α=0)</w:t>
            </w:r>
          </w:p>
        </w:tc>
        <w:tc>
          <w:tcPr>
            <w:tcW w:w="1651" w:type="dxa"/>
            <w:shd w:val="clear" w:color="auto" w:fill="8B1A1A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Optimal (α*=7.90%)</w:t>
            </w:r>
          </w:p>
        </w:tc>
      </w:tr>
      <w:tr w:rsidR="009C0B6E">
        <w:trPr>
          <w:trHeight w:val="238"/>
        </w:trPr>
        <w:tc>
          <w:tcPr>
            <w:tcW w:w="192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95% VaR</w:t>
            </w:r>
          </w:p>
        </w:tc>
        <w:tc>
          <w:tcPr>
            <w:tcW w:w="165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11.32%</w:t>
            </w:r>
          </w:p>
        </w:tc>
        <w:tc>
          <w:tcPr>
            <w:tcW w:w="165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15.00%</w:t>
            </w:r>
          </w:p>
        </w:tc>
      </w:tr>
      <w:tr w:rsidR="009C0B6E">
        <w:trPr>
          <w:trHeight w:val="238"/>
        </w:trPr>
        <w:tc>
          <w:tcPr>
            <w:tcW w:w="192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Expected return</w:t>
            </w:r>
          </w:p>
        </w:tc>
        <w:tc>
          <w:tcPr>
            <w:tcW w:w="165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54.03%</w:t>
            </w:r>
          </w:p>
        </w:tc>
        <w:tc>
          <w:tcPr>
            <w:tcW w:w="165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46.73%</w:t>
            </w:r>
          </w:p>
        </w:tc>
      </w:tr>
      <w:tr w:rsidR="009C0B6E">
        <w:trPr>
          <w:trHeight w:val="238"/>
        </w:trPr>
        <w:tc>
          <w:tcPr>
            <w:tcW w:w="192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Sharpe ratio</w:t>
            </w:r>
          </w:p>
        </w:tc>
        <w:tc>
          <w:tcPr>
            <w:tcW w:w="165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1.277</w:t>
            </w:r>
          </w:p>
        </w:tc>
        <w:tc>
          <w:tcPr>
            <w:tcW w:w="1651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1.148</w:t>
            </w:r>
          </w:p>
        </w:tc>
      </w:tr>
      <w:tr w:rsidR="009C0B6E">
        <w:trPr>
          <w:trHeight w:val="238"/>
        </w:trPr>
        <w:tc>
          <w:tcPr>
            <w:tcW w:w="1926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</w:pPr>
            <w:r>
              <w:rPr>
                <w:rFonts w:ascii="Calibri" w:hAnsi="Calibri"/>
                <w:color w:val="111111"/>
                <w:sz w:val="14"/>
              </w:rPr>
              <w:t>P(loss)</w:t>
            </w:r>
          </w:p>
        </w:tc>
        <w:tc>
          <w:tcPr>
            <w:tcW w:w="165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8.7%</w:t>
            </w:r>
          </w:p>
        </w:tc>
        <w:tc>
          <w:tcPr>
            <w:tcW w:w="1651" w:type="dxa"/>
            <w:shd w:val="clear" w:color="auto" w:fill="F5F5F5"/>
            <w:tcMar>
              <w:top w:w="8" w:type="dxa"/>
              <w:left w:w="40" w:type="dxa"/>
              <w:bottom w:w="8" w:type="dxa"/>
              <w:right w:w="40" w:type="dxa"/>
            </w:tcMar>
          </w:tcPr>
          <w:p w:rsidR="009C0B6E" w:rsidRDefault="00000000">
            <w:pPr>
              <w:spacing w:after="0" w:line="236" w:lineRule="auto"/>
              <w:jc w:val="right"/>
            </w:pPr>
            <w:r>
              <w:rPr>
                <w:rFonts w:ascii="Calibri" w:hAnsi="Calibri"/>
                <w:color w:val="111111"/>
                <w:sz w:val="14"/>
              </w:rPr>
              <w:t>13.7%</w:t>
            </w:r>
          </w:p>
        </w:tc>
      </w:tr>
    </w:tbl>
    <w:p w:rsidR="009C0B6E" w:rsidRDefault="009C0B6E">
      <w:pPr>
        <w:spacing w:after="8" w:line="236" w:lineRule="auto"/>
      </w:pPr>
    </w:p>
    <w:p w:rsidR="009C0B6E" w:rsidRDefault="00000000">
      <w:pPr>
        <w:spacing w:after="8" w:line="236" w:lineRule="auto"/>
      </w:pPr>
      <w:r>
        <w:rPr>
          <w:rFonts w:ascii="Calibri" w:hAnsi="Calibri"/>
          <w:color w:val="111111"/>
          <w:sz w:val="17"/>
        </w:rPr>
        <w:t>VaR is monotone increasing in α: at the 5th percentile the stock has risen modestly (μ dominates), so the put expires worthless and only the premium drag remains — making more insurance costlier at the VaR quantile. α*=7.90% is the regulatory ceiling; above it the constraint is violated.</w:t>
      </w:r>
    </w:p>
    <w:p w:rsidR="009C0B6E" w:rsidRDefault="00000000">
      <w:pPr>
        <w:spacing w:after="6" w:line="236" w:lineRule="auto"/>
        <w:jc w:val="center"/>
      </w:pPr>
      <w:r>
        <w:rPr>
          <w:noProof/>
        </w:rPr>
        <w:drawing>
          <wp:inline distT="0" distB="0" distL="0" distR="0">
            <wp:extent cx="2421818" cy="14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_constra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181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456" w:rsidRDefault="00000000">
      <w:pPr>
        <w:spacing w:after="10" w:line="236" w:lineRule="auto"/>
        <w:jc w:val="center"/>
        <w:rPr>
          <w:rFonts w:ascii="Calibri" w:hAnsi="Calibri"/>
          <w:i/>
          <w:color w:val="666666"/>
          <w:sz w:val="15"/>
        </w:rPr>
        <w:sectPr w:rsidR="00F71456" w:rsidSect="00F71456">
          <w:type w:val="continuous"/>
          <w:pgSz w:w="23811" w:h="16838"/>
          <w:pgMar w:top="567" w:right="567" w:bottom="567" w:left="567" w:header="720" w:footer="720" w:gutter="0"/>
          <w:cols w:num="4" w:space="284"/>
          <w:docGrid w:linePitch="360"/>
        </w:sectPr>
      </w:pPr>
      <w:r>
        <w:rPr>
          <w:rFonts w:ascii="Calibri" w:hAnsi="Calibri"/>
          <w:i/>
          <w:color w:val="666666"/>
          <w:sz w:val="15"/>
        </w:rPr>
        <w:t>Fig. 7 — 95% VaR vs α (K=95%S₀); 15% limit and α*=7.90% marked.</w:t>
      </w:r>
    </w:p>
    <w:p w:rsidR="009C0B6E" w:rsidRDefault="009C0B6E">
      <w:pPr>
        <w:spacing w:after="10" w:line="236" w:lineRule="auto"/>
        <w:jc w:val="center"/>
      </w:pPr>
    </w:p>
    <w:sectPr w:rsidR="009C0B6E" w:rsidSect="00034616">
      <w:type w:val="continuous"/>
      <w:pgSz w:w="23811" w:h="16838"/>
      <w:pgMar w:top="567" w:right="567" w:bottom="567" w:left="567" w:header="720" w:footer="720" w:gutter="0"/>
      <w:cols w:num="4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321337">
    <w:abstractNumId w:val="8"/>
  </w:num>
  <w:num w:numId="2" w16cid:durableId="1913588645">
    <w:abstractNumId w:val="6"/>
  </w:num>
  <w:num w:numId="3" w16cid:durableId="700084703">
    <w:abstractNumId w:val="5"/>
  </w:num>
  <w:num w:numId="4" w16cid:durableId="1862626468">
    <w:abstractNumId w:val="4"/>
  </w:num>
  <w:num w:numId="5" w16cid:durableId="2007899203">
    <w:abstractNumId w:val="7"/>
  </w:num>
  <w:num w:numId="6" w16cid:durableId="1759280400">
    <w:abstractNumId w:val="3"/>
  </w:num>
  <w:num w:numId="7" w16cid:durableId="1550998426">
    <w:abstractNumId w:val="2"/>
  </w:num>
  <w:num w:numId="8" w16cid:durableId="1789080371">
    <w:abstractNumId w:val="1"/>
  </w:num>
  <w:num w:numId="9" w16cid:durableId="66316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7D39"/>
    <w:rsid w:val="009C0B6E"/>
    <w:rsid w:val="00AA1D8D"/>
    <w:rsid w:val="00B45957"/>
    <w:rsid w:val="00B47730"/>
    <w:rsid w:val="00CB0664"/>
    <w:rsid w:val="00D81446"/>
    <w:rsid w:val="00F71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0B930"/>
  <w14:defaultImageDpi w14:val="300"/>
  <w15:docId w15:val="{F7B91E12-B843-5A46-8F72-A637ADFE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daanish muzaffar</cp:lastModifiedBy>
  <cp:revision>2</cp:revision>
  <dcterms:created xsi:type="dcterms:W3CDTF">2026-06-21T09:01:00Z</dcterms:created>
  <dcterms:modified xsi:type="dcterms:W3CDTF">2026-06-21T09:01:00Z</dcterms:modified>
  <cp:category/>
</cp:coreProperties>
</file>