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93"/>
        <w:tblW w:w="22364" w:type="dxa"/>
        <w:tblLook w:val="04A0" w:firstRow="1" w:lastRow="0" w:firstColumn="1" w:lastColumn="0" w:noHBand="0" w:noVBand="1"/>
      </w:tblPr>
      <w:tblGrid>
        <w:gridCol w:w="4211"/>
        <w:gridCol w:w="12474"/>
        <w:gridCol w:w="5679"/>
      </w:tblGrid>
      <w:tr w:rsidR="004B029D" w:rsidTr="004B029D">
        <w:trPr>
          <w:trHeight w:val="629"/>
        </w:trPr>
        <w:tc>
          <w:tcPr>
            <w:tcW w:w="4211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029D" w:rsidRDefault="004B029D" w:rsidP="004B029D">
            <w:pPr>
              <w:spacing w:after="18" w:line="216" w:lineRule="auto"/>
              <w:rPr>
                <w:rFonts w:ascii="Calibri" w:hAnsi="Calibri"/>
                <w:b/>
                <w:color w:val="FFFFFF"/>
                <w:sz w:val="17"/>
              </w:rPr>
            </w:pPr>
            <w:r>
              <w:rPr>
                <w:rFonts w:ascii="Calibri" w:hAnsi="Calibri"/>
                <w:b/>
                <w:color w:val="FFFFFF"/>
              </w:rPr>
              <w:t>Name:              Daanish Muzaffar</w:t>
            </w:r>
          </w:p>
          <w:p w:rsidR="004B029D" w:rsidRDefault="004B029D" w:rsidP="004B029D">
            <w:pPr>
              <w:spacing w:after="18" w:line="216" w:lineRule="auto"/>
            </w:pPr>
            <w:r>
              <w:rPr>
                <w:rFonts w:ascii="Calibri" w:hAnsi="Calibri"/>
                <w:b/>
                <w:color w:val="FFFFFF"/>
              </w:rPr>
              <w:t>Matriculation: 7259472</w:t>
            </w:r>
          </w:p>
        </w:tc>
        <w:tc>
          <w:tcPr>
            <w:tcW w:w="12474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029D" w:rsidRDefault="004B029D" w:rsidP="004B029D">
            <w:pPr>
              <w:spacing w:after="20" w:line="216" w:lineRule="auto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Portfolio Insurance and Structured Product Pricing on Rheinmetall AG</w:t>
            </w:r>
          </w:p>
          <w:p w:rsidR="004B029D" w:rsidRDefault="004B029D" w:rsidP="004B029D">
            <w:pPr>
              <w:spacing w:after="0" w:line="216" w:lineRule="auto"/>
              <w:jc w:val="center"/>
            </w:pPr>
            <w:r>
              <w:rPr>
                <w:rFonts w:ascii="Calibri" w:hAnsi="Calibri"/>
                <w:color w:val="FFFFFF"/>
              </w:rPr>
              <w:t>Eberhard Karls Universität Tübingen  ·  B401: Continuous-Time Derivatives Pricing  ·  Summer Term 2026</w:t>
            </w:r>
          </w:p>
        </w:tc>
        <w:tc>
          <w:tcPr>
            <w:tcW w:w="5679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029D" w:rsidRDefault="004B029D" w:rsidP="004B029D"/>
        </w:tc>
      </w:tr>
    </w:tbl>
    <w:p w:rsidR="004B029D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Calibri" w:hAnsi="Calibri"/>
          <w:b/>
          <w:color w:val="8B1A1A"/>
        </w:rPr>
        <w:sectPr w:rsidR="004B029D" w:rsidSect="004B029D">
          <w:pgSz w:w="23820" w:h="16840" w:orient="landscape"/>
          <w:pgMar w:top="567" w:right="567" w:bottom="567" w:left="567" w:header="720" w:footer="720" w:gutter="0"/>
          <w:cols w:num="4" w:space="284"/>
          <w:docGrid w:linePitch="360"/>
        </w:sectPr>
      </w:pPr>
    </w:p>
    <w:p w:rsidR="004B029D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Calibri" w:hAnsi="Calibri"/>
          <w:b/>
          <w:color w:val="8B1A1A"/>
        </w:rPr>
        <w:sectPr w:rsidR="004B029D" w:rsidSect="004B029D">
          <w:type w:val="continuous"/>
          <w:pgSz w:w="23820" w:h="16840" w:orient="landscape"/>
          <w:pgMar w:top="567" w:right="567" w:bottom="567" w:left="567" w:header="720" w:footer="720" w:gutter="0"/>
          <w:cols w:space="284"/>
          <w:docGrid w:linePitch="360"/>
        </w:sectPr>
      </w:pPr>
    </w:p>
    <w:p w:rsidR="004B029D" w:rsidRDefault="004B029D" w:rsidP="004B029D">
      <w:pPr>
        <w:keepNext/>
        <w:pBdr>
          <w:bottom w:val="single" w:sz="8" w:space="0" w:color="8B1A1A"/>
        </w:pBdr>
        <w:spacing w:before="6" w:after="7" w:line="216" w:lineRule="auto"/>
      </w:pPr>
      <w:r>
        <w:rPr>
          <w:rFonts w:ascii="Calibri" w:hAnsi="Calibri"/>
          <w:b/>
          <w:color w:val="8B1A1A"/>
        </w:rPr>
        <w:t>PART 1 — DESIGNING CERTIFICATES</w:t>
      </w:r>
    </w:p>
    <w:p w:rsidR="004B029D" w:rsidRDefault="004B029D" w:rsidP="004B029D">
      <w:pPr>
        <w:keepNext/>
        <w:spacing w:before="4" w:after="4" w:line="216" w:lineRule="auto"/>
      </w:pPr>
      <w:r>
        <w:rPr>
          <w:rFonts w:ascii="Calibri" w:hAnsi="Calibri"/>
          <w:b/>
          <w:color w:val="8B1A1A"/>
        </w:rPr>
        <w:t>Task I: Investor Profile</w:t>
      </w: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 xml:space="preserve">Target: German retail saver aged 40–60, approaching retirement, holding pension-fund and real-estate savings. Seeks satellite equity exposure to European </w:t>
      </w:r>
      <w:proofErr w:type="spellStart"/>
      <w:r>
        <w:rPr>
          <w:rFonts w:ascii="Calibri" w:hAnsi="Calibri"/>
          <w:color w:val="111111"/>
        </w:rPr>
        <w:t>defence</w:t>
      </w:r>
      <w:proofErr w:type="spellEnd"/>
      <w:r>
        <w:rPr>
          <w:rFonts w:ascii="Calibri" w:hAnsi="Calibri"/>
          <w:color w:val="111111"/>
        </w:rPr>
        <w:t xml:space="preserve"> (NATO budget commitments, Germany's €100bn </w:t>
      </w:r>
      <w:proofErr w:type="spellStart"/>
      <w:r>
        <w:rPr>
          <w:rFonts w:ascii="Calibri" w:hAnsi="Calibri"/>
          <w:color w:val="111111"/>
        </w:rPr>
        <w:t>Sondervermögen</w:t>
      </w:r>
      <w:proofErr w:type="spellEnd"/>
      <w:r>
        <w:rPr>
          <w:rFonts w:ascii="Calibri" w:hAnsi="Calibri"/>
          <w:color w:val="111111"/>
        </w:rPr>
        <w:t xml:space="preserve">) but cannot tolerate direct RHM.DE single-stock risk — σ=54.2% </w:t>
      </w:r>
      <w:proofErr w:type="spellStart"/>
      <w:r>
        <w:rPr>
          <w:rFonts w:ascii="Calibri" w:hAnsi="Calibri"/>
          <w:color w:val="111111"/>
        </w:rPr>
        <w:t>annualised</w:t>
      </w:r>
      <w:proofErr w:type="spellEnd"/>
      <w:r>
        <w:rPr>
          <w:rFonts w:ascii="Calibri" w:hAnsi="Calibri"/>
          <w:color w:val="111111"/>
        </w:rPr>
        <w:t xml:space="preserve"> far exceeds a conservative retail risk ceiling. A capped capital-protected participation note provides structured upside with a nominal floor at maturity. Investment horizon: 3 years, matching the product tenor and the investor's pre-retirement planning window.</w:t>
      </w:r>
    </w:p>
    <w:p w:rsidR="004B029D" w:rsidRDefault="004B029D" w:rsidP="004B029D">
      <w:pPr>
        <w:shd w:val="clear" w:color="auto" w:fill="EFEFEF"/>
        <w:spacing w:after="3" w:line="216" w:lineRule="auto"/>
      </w:pPr>
      <w:r>
        <w:t>RHM.DE σ: EWMA λ=0.94 → 54.17%; HV-30/60/90/252d: 54.41/54.09/50.38/45.57%</w:t>
      </w:r>
    </w:p>
    <w:p w:rsidR="004B029D" w:rsidRDefault="004B029D" w:rsidP="004B029D">
      <w:pPr>
        <w:spacing w:after="8" w:line="216" w:lineRule="auto"/>
      </w:pPr>
    </w:p>
    <w:p w:rsidR="004B029D" w:rsidRDefault="004B029D" w:rsidP="004B029D">
      <w:pPr>
        <w:keepNext/>
        <w:spacing w:before="8" w:after="4" w:line="216" w:lineRule="auto"/>
      </w:pPr>
      <w:r>
        <w:rPr>
          <w:rFonts w:ascii="Calibri" w:hAnsi="Calibri"/>
          <w:b/>
          <w:color w:val="8B1A1A"/>
        </w:rPr>
        <w:t>Task II: Product Design</w:t>
      </w:r>
    </w:p>
    <w:p w:rsidR="004B029D" w:rsidRDefault="004B029D" w:rsidP="004B029D">
      <w:pPr>
        <w:spacing w:after="4" w:line="216" w:lineRule="auto"/>
      </w:pPr>
      <w:r>
        <w:rPr>
          <w:rFonts w:ascii="Calibri" w:hAnsi="Calibri"/>
          <w:b/>
          <w:color w:val="111111"/>
        </w:rPr>
        <w:t xml:space="preserve">Product: </w:t>
      </w:r>
      <w:r>
        <w:rPr>
          <w:rFonts w:ascii="Calibri" w:hAnsi="Calibri"/>
          <w:color w:val="111111"/>
        </w:rPr>
        <w:t>Capped Capital Protected Participation Note — RHM.DE</w:t>
      </w:r>
    </w:p>
    <w:p w:rsidR="004B029D" w:rsidRDefault="004B029D" w:rsidP="004B029D">
      <w:pPr>
        <w:spacing w:after="5" w:line="216" w:lineRule="auto"/>
      </w:pPr>
      <w:r>
        <w:rPr>
          <w:rFonts w:ascii="Calibri" w:hAnsi="Calibri"/>
          <w:b/>
          <w:color w:val="111111"/>
        </w:rPr>
        <w:t xml:space="preserve">Structure: </w:t>
      </w:r>
      <w:r>
        <w:rPr>
          <w:rFonts w:ascii="Calibri" w:hAnsi="Calibri"/>
          <w:color w:val="111111"/>
        </w:rPr>
        <w:t>ZCB + 93.4% × [</w:t>
      </w:r>
      <w:proofErr w:type="gramStart"/>
      <w:r>
        <w:rPr>
          <w:rFonts w:ascii="Calibri" w:hAnsi="Calibri"/>
          <w:color w:val="111111"/>
        </w:rPr>
        <w:t>Call(</w:t>
      </w:r>
      <w:proofErr w:type="gramEnd"/>
      <w:r>
        <w:rPr>
          <w:rFonts w:ascii="Calibri" w:hAnsi="Calibri"/>
          <w:color w:val="111111"/>
        </w:rPr>
        <w:t xml:space="preserve">1,207) − </w:t>
      </w:r>
      <w:proofErr w:type="gramStart"/>
      <w:r>
        <w:rPr>
          <w:rFonts w:ascii="Calibri" w:hAnsi="Calibri"/>
          <w:color w:val="111111"/>
        </w:rPr>
        <w:t>Call(</w:t>
      </w:r>
      <w:proofErr w:type="gramEnd"/>
      <w:r>
        <w:rPr>
          <w:rFonts w:ascii="Calibri" w:hAnsi="Calibri"/>
          <w:color w:val="111111"/>
        </w:rPr>
        <w:t>1,569)]</w:t>
      </w:r>
    </w:p>
    <w:p w:rsidR="004B029D" w:rsidRDefault="004B029D" w:rsidP="004B029D">
      <w:pPr>
        <w:spacing w:after="4" w:line="216" w:lineRule="auto"/>
      </w:pPr>
      <w:r>
        <w:rPr>
          <w:rFonts w:ascii="Calibri" w:hAnsi="Calibri"/>
          <w:i/>
          <w:color w:val="666666"/>
        </w:rPr>
        <w:t>S₀=EUR 1,207 | T=3 y | σ=54.17% | r(3</w:t>
      </w:r>
      <w:proofErr w:type="gramStart"/>
      <w:r>
        <w:rPr>
          <w:rFonts w:ascii="Calibri" w:hAnsi="Calibri"/>
          <w:i/>
          <w:color w:val="666666"/>
        </w:rPr>
        <w:t>y)=</w:t>
      </w:r>
      <w:proofErr w:type="gramEnd"/>
      <w:r>
        <w:rPr>
          <w:rFonts w:ascii="Calibri" w:hAnsi="Calibri"/>
          <w:i/>
          <w:color w:val="666666"/>
        </w:rPr>
        <w:t>2.62% | q=0.60%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7"/>
        <w:gridCol w:w="2091"/>
      </w:tblGrid>
      <w:tr w:rsidR="004B029D" w:rsidTr="005B3FFF">
        <w:trPr>
          <w:trHeight w:val="238"/>
        </w:trPr>
        <w:tc>
          <w:tcPr>
            <w:tcW w:w="313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w="209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EUR</w:t>
            </w:r>
          </w:p>
        </w:tc>
      </w:tr>
      <w:tr w:rsidR="004B029D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ZCB present value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1,115.79</w:t>
            </w:r>
          </w:p>
        </w:tc>
      </w:tr>
      <w:tr w:rsidR="004B029D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ATM call (K=1,207)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451.04</w:t>
            </w:r>
          </w:p>
        </w:tc>
      </w:tr>
      <w:tr w:rsidR="004B029D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Cap call (K=1,569)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353.43</w:t>
            </w:r>
          </w:p>
        </w:tc>
      </w:tr>
      <w:tr w:rsidR="004B029D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Net spread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97.61</w:t>
            </w:r>
          </w:p>
        </w:tc>
      </w:tr>
      <w:tr w:rsidR="004B029D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Participation α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93.4%</w:t>
            </w:r>
          </w:p>
        </w:tc>
      </w:tr>
      <w:tr w:rsidR="004B029D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Max gain at cap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+28.0%</w:t>
            </w:r>
          </w:p>
        </w:tc>
      </w:tr>
    </w:tbl>
    <w:p w:rsidR="004B029D" w:rsidRDefault="004B029D" w:rsidP="004B029D">
      <w:pPr>
        <w:spacing w:after="8" w:line="216" w:lineRule="auto"/>
      </w:pP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 xml:space="preserve">ZCB guarantees EUR 1,207 at maturity. The bull call spread delivers 93.4% participation up to the 30% cap; the short cap call finances the higher participation rate by </w:t>
      </w:r>
      <w:proofErr w:type="spellStart"/>
      <w:r>
        <w:rPr>
          <w:rFonts w:ascii="Calibri" w:hAnsi="Calibri"/>
          <w:color w:val="111111"/>
        </w:rPr>
        <w:t>monetising</w:t>
      </w:r>
      <w:proofErr w:type="spellEnd"/>
      <w:r>
        <w:rPr>
          <w:rFonts w:ascii="Calibri" w:hAnsi="Calibri"/>
          <w:color w:val="111111"/>
        </w:rPr>
        <w:t xml:space="preserve"> extreme upside.</w:t>
      </w:r>
    </w:p>
    <w:p w:rsidR="004B029D" w:rsidRDefault="004B029D" w:rsidP="004B029D">
      <w:pPr>
        <w:keepNext/>
        <w:spacing w:before="8" w:after="4" w:line="216" w:lineRule="auto"/>
      </w:pPr>
      <w:r>
        <w:rPr>
          <w:rFonts w:ascii="Calibri" w:hAnsi="Calibri"/>
          <w:b/>
          <w:color w:val="8B1A1A"/>
        </w:rPr>
        <w:t>Task III: Payoff Profile</w:t>
      </w: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>Outperforms direct stock in falling / flat markets; underperforms above EUR 1,384 where the cap binds.</w:t>
      </w:r>
    </w:p>
    <w:p w:rsidR="004B029D" w:rsidRDefault="004B029D" w:rsidP="004B029D">
      <w:pPr>
        <w:spacing w:after="6" w:line="216" w:lineRule="auto"/>
        <w:jc w:val="center"/>
      </w:pPr>
      <w:r>
        <w:rPr>
          <w:noProof/>
        </w:rPr>
        <w:drawing>
          <wp:inline distT="0" distB="0" distL="0" distR="0" wp14:anchorId="5465372C" wp14:editId="4A02840D">
            <wp:extent cx="3058886" cy="1651423"/>
            <wp:effectExtent l="0" t="0" r="1905" b="0"/>
            <wp:docPr id="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44" cy="165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Default="004B029D" w:rsidP="004B029D">
      <w:pPr>
        <w:spacing w:after="10" w:line="216" w:lineRule="auto"/>
        <w:jc w:val="center"/>
      </w:pPr>
      <w:r>
        <w:rPr>
          <w:rFonts w:ascii="Calibri" w:hAnsi="Calibri"/>
          <w:i/>
          <w:color w:val="666666"/>
        </w:rPr>
        <w:t>Fig. 1 — Certificate vs stock payoff at maturity.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538"/>
      </w:tblGrid>
      <w:tr w:rsidR="004B029D" w:rsidTr="005B3FFF">
        <w:trPr>
          <w:trHeight w:val="238"/>
        </w:trPr>
        <w:tc>
          <w:tcPr>
            <w:tcW w:w="123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S_T</w:t>
            </w:r>
          </w:p>
        </w:tc>
        <w:tc>
          <w:tcPr>
            <w:tcW w:w="123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CPN</w:t>
            </w:r>
          </w:p>
        </w:tc>
        <w:tc>
          <w:tcPr>
            <w:tcW w:w="123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Stock</w:t>
            </w:r>
          </w:p>
        </w:tc>
        <w:tc>
          <w:tcPr>
            <w:tcW w:w="153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Region</w:t>
            </w:r>
          </w:p>
        </w:tc>
      </w:tr>
      <w:tr w:rsidR="004B029D" w:rsidTr="005B3FFF">
        <w:trPr>
          <w:trHeight w:val="238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844.9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1,207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844.9</w:t>
            </w:r>
          </w:p>
        </w:tc>
        <w:tc>
          <w:tcPr>
            <w:tcW w:w="15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Protected</w:t>
            </w:r>
          </w:p>
        </w:tc>
      </w:tr>
      <w:tr w:rsidR="004B029D" w:rsidTr="005B3FFF">
        <w:trPr>
          <w:trHeight w:val="238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1,207</w:t>
            </w:r>
          </w:p>
        </w:tc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1,207</w:t>
            </w:r>
          </w:p>
        </w:tc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1,207</w:t>
            </w:r>
          </w:p>
        </w:tc>
        <w:tc>
          <w:tcPr>
            <w:tcW w:w="15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Floor</w:t>
            </w:r>
          </w:p>
        </w:tc>
      </w:tr>
      <w:tr w:rsidR="004B029D" w:rsidTr="005B3FFF">
        <w:trPr>
          <w:trHeight w:val="238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1,312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1,305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1,312</w:t>
            </w:r>
          </w:p>
        </w:tc>
        <w:tc>
          <w:tcPr>
            <w:tcW w:w="15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Participating</w:t>
            </w:r>
          </w:p>
        </w:tc>
      </w:tr>
      <w:tr w:rsidR="004B029D" w:rsidTr="005B3FFF">
        <w:trPr>
          <w:trHeight w:val="238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1,569</w:t>
            </w:r>
          </w:p>
        </w:tc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1,545</w:t>
            </w:r>
          </w:p>
        </w:tc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1,569</w:t>
            </w:r>
          </w:p>
        </w:tc>
        <w:tc>
          <w:tcPr>
            <w:tcW w:w="15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At cap</w:t>
            </w:r>
          </w:p>
        </w:tc>
      </w:tr>
      <w:tr w:rsidR="004B029D" w:rsidTr="005B3FFF">
        <w:trPr>
          <w:trHeight w:val="238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2,050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1,545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2,050</w:t>
            </w:r>
          </w:p>
        </w:tc>
        <w:tc>
          <w:tcPr>
            <w:tcW w:w="15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Capped</w:t>
            </w:r>
          </w:p>
        </w:tc>
      </w:tr>
    </w:tbl>
    <w:p w:rsidR="004B029D" w:rsidRDefault="004B029D" w:rsidP="004B029D">
      <w:pPr>
        <w:spacing w:after="8" w:line="216" w:lineRule="auto"/>
      </w:pPr>
    </w:p>
    <w:p w:rsidR="004B029D" w:rsidRDefault="004B029D" w:rsidP="004B029D">
      <w:pPr>
        <w:keepNext/>
        <w:spacing w:before="8" w:after="4" w:line="216" w:lineRule="auto"/>
      </w:pPr>
      <w:r>
        <w:rPr>
          <w:rFonts w:ascii="Calibri" w:hAnsi="Calibri"/>
          <w:b/>
          <w:color w:val="8B1A1A"/>
        </w:rPr>
        <w:t>Task IV: Market Size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16"/>
        <w:gridCol w:w="1206"/>
        <w:gridCol w:w="1206"/>
      </w:tblGrid>
      <w:tr w:rsidR="004B029D" w:rsidTr="005B3FFF">
        <w:trPr>
          <w:trHeight w:val="238"/>
        </w:trPr>
        <w:tc>
          <w:tcPr>
            <w:tcW w:w="2816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Segment</w:t>
            </w:r>
          </w:p>
        </w:tc>
        <w:tc>
          <w:tcPr>
            <w:tcW w:w="1206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EUR bn</w:t>
            </w:r>
          </w:p>
        </w:tc>
        <w:tc>
          <w:tcPr>
            <w:tcW w:w="1206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Share</w:t>
            </w:r>
          </w:p>
        </w:tc>
      </w:tr>
      <w:tr w:rsidR="004B029D" w:rsidTr="005B3FFF">
        <w:trPr>
          <w:trHeight w:val="238"/>
        </w:trPr>
        <w:tc>
          <w:tcPr>
            <w:tcW w:w="281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Total structured products</w:t>
            </w:r>
          </w:p>
        </w:tc>
        <w:tc>
          <w:tcPr>
            <w:tcW w:w="120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112</w:t>
            </w:r>
          </w:p>
        </w:tc>
        <w:tc>
          <w:tcPr>
            <w:tcW w:w="120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100%</w:t>
            </w:r>
          </w:p>
        </w:tc>
      </w:tr>
      <w:tr w:rsidR="004B029D" w:rsidTr="005B3FFF">
        <w:trPr>
          <w:trHeight w:val="238"/>
        </w:trPr>
        <w:tc>
          <w:tcPr>
            <w:tcW w:w="281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proofErr w:type="spellStart"/>
            <w:r>
              <w:rPr>
                <w:rFonts w:ascii="Calibri" w:hAnsi="Calibri"/>
                <w:color w:val="111111"/>
              </w:rPr>
              <w:t>Kapitalschutz</w:t>
            </w:r>
            <w:proofErr w:type="spellEnd"/>
            <w:r>
              <w:rPr>
                <w:rFonts w:ascii="Calibri" w:hAnsi="Calibri"/>
                <w:color w:val="111111"/>
              </w:rPr>
              <w:t xml:space="preserve"> (BSW 2023)</w:t>
            </w:r>
          </w:p>
        </w:tc>
        <w:tc>
          <w:tcPr>
            <w:tcW w:w="120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4.26</w:t>
            </w:r>
          </w:p>
        </w:tc>
        <w:tc>
          <w:tcPr>
            <w:tcW w:w="120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3.8%</w:t>
            </w:r>
          </w:p>
        </w:tc>
      </w:tr>
      <w:tr w:rsidR="004B029D" w:rsidTr="005B3FFF">
        <w:trPr>
          <w:trHeight w:val="238"/>
        </w:trPr>
        <w:tc>
          <w:tcPr>
            <w:tcW w:w="281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Participation notes</w:t>
            </w:r>
          </w:p>
        </w:tc>
        <w:tc>
          <w:tcPr>
            <w:tcW w:w="120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2.34</w:t>
            </w:r>
          </w:p>
        </w:tc>
        <w:tc>
          <w:tcPr>
            <w:tcW w:w="120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~55%</w:t>
            </w:r>
          </w:p>
        </w:tc>
      </w:tr>
      <w:tr w:rsidR="004B029D" w:rsidTr="005B3FFF">
        <w:trPr>
          <w:trHeight w:val="238"/>
        </w:trPr>
        <w:tc>
          <w:tcPr>
            <w:tcW w:w="281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Avg. issue size</w:t>
            </w:r>
          </w:p>
        </w:tc>
        <w:tc>
          <w:tcPr>
            <w:tcW w:w="120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0.033</w:t>
            </w:r>
          </w:p>
        </w:tc>
        <w:tc>
          <w:tcPr>
            <w:tcW w:w="120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~130 issues</w:t>
            </w:r>
          </w:p>
        </w:tc>
      </w:tr>
    </w:tbl>
    <w:p w:rsidR="004B029D" w:rsidRDefault="004B029D" w:rsidP="004B029D">
      <w:pPr>
        <w:spacing w:after="8" w:line="216" w:lineRule="auto"/>
      </w:pP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 xml:space="preserve">Addressable market for a single-name RHM.DE capital-protected note: EUR 200–300 </w:t>
      </w:r>
      <w:proofErr w:type="spellStart"/>
      <w:r>
        <w:rPr>
          <w:rFonts w:ascii="Calibri" w:hAnsi="Calibri"/>
          <w:color w:val="111111"/>
        </w:rPr>
        <w:t>mn</w:t>
      </w:r>
      <w:proofErr w:type="spellEnd"/>
      <w:r>
        <w:rPr>
          <w:rFonts w:ascii="Calibri" w:hAnsi="Calibri"/>
          <w:color w:val="111111"/>
        </w:rPr>
        <w:t xml:space="preserve"> on EUWAX, based on comparable DDV-member issuances.</w:t>
      </w:r>
    </w:p>
    <w:p w:rsidR="004B029D" w:rsidRDefault="004B029D" w:rsidP="004B029D">
      <w:pPr>
        <w:keepNext/>
        <w:pBdr>
          <w:bottom w:val="single" w:sz="8" w:space="0" w:color="8B1A1A"/>
        </w:pBdr>
        <w:spacing w:before="6" w:after="7" w:line="216" w:lineRule="auto"/>
      </w:pPr>
      <w:r>
        <w:rPr>
          <w:rFonts w:ascii="Calibri" w:hAnsi="Calibri"/>
          <w:b/>
          <w:color w:val="8B1A1A"/>
        </w:rPr>
        <w:t>PART 2 — VALUATION OF CERTIFICATES</w:t>
      </w:r>
    </w:p>
    <w:p w:rsidR="004B029D" w:rsidRDefault="004B029D" w:rsidP="004B029D">
      <w:pPr>
        <w:shd w:val="clear" w:color="auto" w:fill="EFEFEF"/>
        <w:spacing w:after="3" w:line="216" w:lineRule="auto"/>
      </w:pPr>
      <w:r>
        <w:rPr>
          <w:rFonts w:ascii="Calibri" w:hAnsi="Calibri"/>
          <w:b/>
          <w:color w:val="111111"/>
        </w:rPr>
        <w:t xml:space="preserve">DU2076 Bonus Certificate with Cap on </w:t>
      </w:r>
      <w:proofErr w:type="gramStart"/>
      <w:r>
        <w:rPr>
          <w:rFonts w:ascii="Calibri" w:hAnsi="Calibri"/>
          <w:b/>
          <w:color w:val="111111"/>
        </w:rPr>
        <w:t>RHM.DE  (</w:t>
      </w:r>
      <w:proofErr w:type="gramEnd"/>
      <w:r>
        <w:rPr>
          <w:rFonts w:ascii="Calibri" w:hAnsi="Calibri"/>
          <w:b/>
          <w:color w:val="111111"/>
        </w:rPr>
        <w:t>DZ BANK)</w:t>
      </w:r>
    </w:p>
    <w:p w:rsidR="004B029D" w:rsidRDefault="004B029D" w:rsidP="004B029D">
      <w:pPr>
        <w:shd w:val="clear" w:color="auto" w:fill="EFEFEF"/>
        <w:spacing w:after="3" w:line="216" w:lineRule="auto"/>
      </w:pPr>
      <w:r>
        <w:rPr>
          <w:rFonts w:ascii="Calibri" w:hAnsi="Calibri"/>
          <w:color w:val="111111"/>
        </w:rPr>
        <w:t>Decomposition: Down-and-Out Put + Capped Forward</w:t>
      </w:r>
    </w:p>
    <w:p w:rsidR="004B029D" w:rsidRDefault="004B029D" w:rsidP="004B029D">
      <w:pPr>
        <w:shd w:val="clear" w:color="auto" w:fill="EFEFEF"/>
        <w:spacing w:after="3" w:line="216" w:lineRule="auto"/>
      </w:pPr>
      <w:r>
        <w:rPr>
          <w:rFonts w:ascii="Calibri" w:hAnsi="Calibri"/>
          <w:color w:val="111111"/>
        </w:rPr>
        <w:t xml:space="preserve">B=EUR </w:t>
      </w:r>
      <w:proofErr w:type="gramStart"/>
      <w:r>
        <w:rPr>
          <w:rFonts w:ascii="Calibri" w:hAnsi="Calibri"/>
          <w:color w:val="111111"/>
        </w:rPr>
        <w:t>1,050  |</w:t>
      </w:r>
      <w:proofErr w:type="gramEnd"/>
      <w:r>
        <w:rPr>
          <w:rFonts w:ascii="Calibri" w:hAnsi="Calibri"/>
          <w:color w:val="111111"/>
        </w:rPr>
        <w:t xml:space="preserve">  K=EUR </w:t>
      </w:r>
      <w:proofErr w:type="gramStart"/>
      <w:r>
        <w:rPr>
          <w:rFonts w:ascii="Calibri" w:hAnsi="Calibri"/>
          <w:color w:val="111111"/>
        </w:rPr>
        <w:t>2,000  |</w:t>
      </w:r>
      <w:proofErr w:type="gramEnd"/>
      <w:r>
        <w:rPr>
          <w:rFonts w:ascii="Calibri" w:hAnsi="Calibri"/>
          <w:color w:val="111111"/>
        </w:rPr>
        <w:t xml:space="preserve">  T≈1.80 </w:t>
      </w:r>
      <w:proofErr w:type="gramStart"/>
      <w:r>
        <w:rPr>
          <w:rFonts w:ascii="Calibri" w:hAnsi="Calibri"/>
          <w:color w:val="111111"/>
        </w:rPr>
        <w:t>y  |</w:t>
      </w:r>
      <w:proofErr w:type="gramEnd"/>
      <w:r>
        <w:rPr>
          <w:rFonts w:ascii="Calibri" w:hAnsi="Calibri"/>
          <w:color w:val="111111"/>
        </w:rPr>
        <w:t xml:space="preserve">  S₀=EUR 1,707.93</w:t>
      </w:r>
    </w:p>
    <w:p w:rsidR="004B029D" w:rsidRDefault="004B029D" w:rsidP="004B029D">
      <w:pPr>
        <w:shd w:val="clear" w:color="auto" w:fill="EFEFEF"/>
        <w:spacing w:after="6" w:line="216" w:lineRule="auto"/>
      </w:pPr>
      <w:r>
        <w:rPr>
          <w:rFonts w:ascii="Calibri" w:hAnsi="Calibri"/>
          <w:color w:val="111111"/>
        </w:rPr>
        <w:t xml:space="preserve">Observation: 4 Sep 2025 – 18 Jun </w:t>
      </w:r>
      <w:proofErr w:type="gramStart"/>
      <w:r>
        <w:rPr>
          <w:rFonts w:ascii="Calibri" w:hAnsi="Calibri"/>
          <w:color w:val="111111"/>
        </w:rPr>
        <w:t>2027  |</w:t>
      </w:r>
      <w:proofErr w:type="gramEnd"/>
      <w:r>
        <w:rPr>
          <w:rFonts w:ascii="Calibri" w:hAnsi="Calibri"/>
          <w:color w:val="111111"/>
        </w:rPr>
        <w:t xml:space="preserve">  Market prices: 1,236–1,636 EUR</w:t>
      </w:r>
    </w:p>
    <w:p w:rsidR="004B029D" w:rsidRDefault="004B029D" w:rsidP="004B029D">
      <w:pPr>
        <w:keepNext/>
        <w:spacing w:before="8" w:after="4" w:line="216" w:lineRule="auto"/>
      </w:pPr>
      <w:r>
        <w:rPr>
          <w:rFonts w:ascii="Calibri" w:hAnsi="Calibri"/>
          <w:b/>
          <w:color w:val="8B1A1A"/>
        </w:rPr>
        <w:t>Task V: Valuation — CRR Binomial Tree (N=200)</w:t>
      </w: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 xml:space="preserve">183 trading days (4 Sep 2025 – 1 Jun 2026); daily ECB Svensson rate matched to remaining maturity (mean r=2.14%, range 1.87–2.59%). Tree root on day 1: </w:t>
      </w:r>
      <w:proofErr w:type="spellStart"/>
      <w:r>
        <w:rPr>
          <w:rFonts w:ascii="Calibri" w:hAnsi="Calibri"/>
          <w:color w:val="111111"/>
        </w:rPr>
        <w:t>V_cert</w:t>
      </w:r>
      <w:proofErr w:type="spellEnd"/>
      <w:r>
        <w:rPr>
          <w:rFonts w:ascii="Calibri" w:hAnsi="Calibri"/>
          <w:color w:val="111111"/>
        </w:rPr>
        <w:t xml:space="preserve">=EUR 1,558.89 vs market EUR 1,635.75. EWMA σ=44.27% (λ=0.94) vs back-solved implied vol </w:t>
      </w:r>
      <w:proofErr w:type="spellStart"/>
      <w:r>
        <w:rPr>
          <w:rFonts w:ascii="Calibri" w:hAnsi="Calibri"/>
          <w:color w:val="111111"/>
        </w:rPr>
        <w:t>σ_IV</w:t>
      </w:r>
      <w:proofErr w:type="spellEnd"/>
      <w:r>
        <w:rPr>
          <w:rFonts w:ascii="Calibri" w:hAnsi="Calibri"/>
          <w:color w:val="111111"/>
        </w:rPr>
        <w:t>=37.77%.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4"/>
        <w:gridCol w:w="1452"/>
        <w:gridCol w:w="1452"/>
      </w:tblGrid>
      <w:tr w:rsidR="004B029D" w:rsidTr="005B3FFF">
        <w:trPr>
          <w:trHeight w:val="238"/>
        </w:trPr>
        <w:tc>
          <w:tcPr>
            <w:tcW w:w="2324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Metric</w:t>
            </w:r>
          </w:p>
        </w:tc>
        <w:tc>
          <w:tcPr>
            <w:tcW w:w="1452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EWMA</w:t>
            </w:r>
          </w:p>
        </w:tc>
        <w:tc>
          <w:tcPr>
            <w:tcW w:w="1452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Implied Vol</w:t>
            </w:r>
          </w:p>
        </w:tc>
      </w:tr>
      <w:tr w:rsidR="004B029D" w:rsidTr="005B3FFF">
        <w:trPr>
          <w:trHeight w:val="238"/>
        </w:trPr>
        <w:tc>
          <w:tcPr>
            <w:tcW w:w="232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Mean Error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−85.54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−8.89</w:t>
            </w:r>
          </w:p>
        </w:tc>
      </w:tr>
      <w:tr w:rsidR="004B029D" w:rsidTr="005B3FFF">
        <w:trPr>
          <w:trHeight w:val="238"/>
        </w:trPr>
        <w:tc>
          <w:tcPr>
            <w:tcW w:w="232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MAE (EUR)</w:t>
            </w:r>
          </w:p>
        </w:tc>
        <w:tc>
          <w:tcPr>
            <w:tcW w:w="145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94.49</w:t>
            </w:r>
          </w:p>
        </w:tc>
        <w:tc>
          <w:tcPr>
            <w:tcW w:w="145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9.82</w:t>
            </w:r>
          </w:p>
        </w:tc>
      </w:tr>
      <w:tr w:rsidR="004B029D" w:rsidTr="005B3FFF">
        <w:trPr>
          <w:trHeight w:val="238"/>
        </w:trPr>
        <w:tc>
          <w:tcPr>
            <w:tcW w:w="232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RMSE (EUR)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108.92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12.37</w:t>
            </w:r>
          </w:p>
        </w:tc>
      </w:tr>
      <w:tr w:rsidR="004B029D" w:rsidTr="005B3FFF">
        <w:trPr>
          <w:trHeight w:val="238"/>
        </w:trPr>
        <w:tc>
          <w:tcPr>
            <w:tcW w:w="232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MAPE</w:t>
            </w:r>
          </w:p>
        </w:tc>
        <w:tc>
          <w:tcPr>
            <w:tcW w:w="145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6.11%</w:t>
            </w:r>
          </w:p>
        </w:tc>
        <w:tc>
          <w:tcPr>
            <w:tcW w:w="145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0.64%</w:t>
            </w:r>
          </w:p>
        </w:tc>
      </w:tr>
      <w:tr w:rsidR="004B029D" w:rsidTr="005B3FFF">
        <w:trPr>
          <w:trHeight w:val="238"/>
        </w:trPr>
        <w:tc>
          <w:tcPr>
            <w:tcW w:w="232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Mean vol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44.27%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37.77%</w:t>
            </w:r>
          </w:p>
        </w:tc>
      </w:tr>
    </w:tbl>
    <w:p w:rsidR="004B029D" w:rsidRDefault="004B029D" w:rsidP="004B029D">
      <w:pPr>
        <w:spacing w:after="8" w:line="216" w:lineRule="auto"/>
      </w:pP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>EWMA overestimates volatility relative to the option-implied level (44.27% vs 37.77%), causing systematic underpricing of EUR 85.54 per cert (6.1%). Implied vol reduces the error to EUR 8.89 (0.64%), confirming the CRR model structure is correct.</w:t>
      </w:r>
    </w:p>
    <w:p w:rsidR="004B029D" w:rsidRDefault="004B029D" w:rsidP="004B029D">
      <w:pPr>
        <w:spacing w:after="8" w:line="216" w:lineRule="auto"/>
      </w:pPr>
    </w:p>
    <w:p w:rsidR="004B029D" w:rsidRDefault="004B029D" w:rsidP="004B029D">
      <w:pPr>
        <w:spacing w:after="4" w:line="216" w:lineRule="auto"/>
      </w:pPr>
      <w:r>
        <w:rPr>
          <w:rFonts w:ascii="Calibri" w:hAnsi="Calibri"/>
          <w:i/>
          <w:color w:val="666666"/>
        </w:rPr>
        <w:t>Worst error: 01 Jun 2026 (barrier proximity + vol spike). Best fit: 17 Nov 2025.</w:t>
      </w:r>
    </w:p>
    <w:p w:rsidR="004B029D" w:rsidRDefault="004B029D" w:rsidP="004B029D">
      <w:pPr>
        <w:spacing w:after="6" w:line="216" w:lineRule="auto"/>
        <w:jc w:val="center"/>
      </w:pPr>
      <w:r>
        <w:rPr>
          <w:noProof/>
        </w:rPr>
        <w:drawing>
          <wp:inline distT="0" distB="0" distL="0" distR="0" wp14:anchorId="5D90C43B" wp14:editId="15C4FFA6">
            <wp:extent cx="2721429" cy="1663879"/>
            <wp:effectExtent l="0" t="0" r="0" b="0"/>
            <wp:docPr id="2" name="Picture 2" descr="A graph of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a pr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7252" cy="166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Default="004B029D" w:rsidP="004B029D">
      <w:pPr>
        <w:spacing w:after="10" w:line="216" w:lineRule="auto"/>
        <w:jc w:val="center"/>
      </w:pPr>
      <w:r>
        <w:rPr>
          <w:rFonts w:ascii="Calibri" w:hAnsi="Calibri"/>
          <w:i/>
          <w:color w:val="666666"/>
        </w:rPr>
        <w:t>Fig. 2 — EWMA model price vs DU2076 market price, Sep 2025 – Jun 2026.</w:t>
      </w:r>
    </w:p>
    <w:p w:rsidR="004B029D" w:rsidRDefault="004B029D" w:rsidP="004B029D">
      <w:pPr>
        <w:keepNext/>
        <w:spacing w:before="8" w:after="4" w:line="216" w:lineRule="auto"/>
      </w:pPr>
      <w:r>
        <w:rPr>
          <w:rFonts w:ascii="Calibri" w:hAnsi="Calibri"/>
          <w:b/>
          <w:color w:val="8B1A1A"/>
        </w:rPr>
        <w:t>Task VI: Sensitivity — Greeks</w:t>
      </w: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>Central finite differences at S=EUR 1,708, T=1.79 y, σ=44.6%, r=2.14%. Cert value at reference: EUR 1,457.77.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3137"/>
      </w:tblGrid>
      <w:tr w:rsidR="004B029D" w:rsidTr="005B3FFF">
        <w:trPr>
          <w:trHeight w:val="238"/>
        </w:trPr>
        <w:tc>
          <w:tcPr>
            <w:tcW w:w="104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Greek</w:t>
            </w:r>
          </w:p>
        </w:tc>
        <w:tc>
          <w:tcPr>
            <w:tcW w:w="104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Value</w:t>
            </w:r>
          </w:p>
        </w:tc>
        <w:tc>
          <w:tcPr>
            <w:tcW w:w="313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Key insight</w:t>
            </w:r>
          </w:p>
        </w:tc>
      </w:tr>
      <w:tr w:rsidR="004B029D" w:rsidTr="005B3FFF">
        <w:trPr>
          <w:trHeight w:val="238"/>
        </w:trPr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Delta</w:t>
            </w:r>
          </w:p>
        </w:tc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0.245</w:t>
            </w:r>
          </w:p>
        </w:tc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Near capped-forward; low directional exposure</w:t>
            </w:r>
          </w:p>
        </w:tc>
      </w:tr>
      <w:tr w:rsidR="004B029D" w:rsidTr="005B3FFF">
        <w:trPr>
          <w:trHeight w:val="238"/>
        </w:trPr>
        <w:tc>
          <w:tcPr>
            <w:tcW w:w="104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Gamma</w:t>
            </w:r>
          </w:p>
        </w:tc>
        <w:tc>
          <w:tcPr>
            <w:tcW w:w="104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≈ 0.000</w:t>
            </w:r>
          </w:p>
        </w:tc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Negligible here; spikes negative near barrier</w:t>
            </w:r>
          </w:p>
        </w:tc>
      </w:tr>
      <w:tr w:rsidR="004B029D" w:rsidTr="005B3FFF">
        <w:trPr>
          <w:trHeight w:val="238"/>
        </w:trPr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Vega</w:t>
            </w:r>
          </w:p>
        </w:tc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−13.55/pp</w:t>
            </w:r>
          </w:p>
        </w:tc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Negative — vol raises knock-out probability</w:t>
            </w:r>
          </w:p>
        </w:tc>
      </w:tr>
      <w:tr w:rsidR="004B029D" w:rsidTr="005B3FFF">
        <w:trPr>
          <w:trHeight w:val="238"/>
        </w:trPr>
        <w:tc>
          <w:tcPr>
            <w:tcW w:w="104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Theta</w:t>
            </w:r>
          </w:p>
        </w:tc>
        <w:tc>
          <w:tcPr>
            <w:tcW w:w="104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+0.36/day</w:t>
            </w:r>
          </w:p>
        </w:tc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Positive — time reduces knock-out risk</w:t>
            </w:r>
          </w:p>
        </w:tc>
      </w:tr>
      <w:tr w:rsidR="004B029D" w:rsidTr="005B3FFF">
        <w:trPr>
          <w:trHeight w:val="238"/>
        </w:trPr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Rho</w:t>
            </w:r>
          </w:p>
        </w:tc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−1.82/pp</w:t>
            </w:r>
          </w:p>
        </w:tc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Higher rates reduce PV of capped forward</w:t>
            </w:r>
          </w:p>
        </w:tc>
      </w:tr>
    </w:tbl>
    <w:p w:rsidR="004B029D" w:rsidRDefault="004B029D" w:rsidP="004B029D">
      <w:pPr>
        <w:spacing w:after="8" w:line="216" w:lineRule="auto"/>
      </w:pPr>
    </w:p>
    <w:p w:rsidR="004B029D" w:rsidRDefault="004B029D" w:rsidP="004B029D">
      <w:pPr>
        <w:spacing w:after="6" w:line="216" w:lineRule="auto"/>
        <w:jc w:val="center"/>
      </w:pPr>
      <w:r>
        <w:rPr>
          <w:noProof/>
        </w:rPr>
        <w:drawing>
          <wp:inline distT="0" distB="0" distL="0" distR="0" wp14:anchorId="41905294" wp14:editId="58BCD859">
            <wp:extent cx="2517516" cy="1785257"/>
            <wp:effectExtent l="0" t="0" r="0" b="5715"/>
            <wp:docPr id="3" name="Picture 3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oup of graphs showing different colo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0185" cy="179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Default="004B029D" w:rsidP="004B029D">
      <w:pPr>
        <w:spacing w:after="10" w:line="216" w:lineRule="auto"/>
        <w:jc w:val="center"/>
      </w:pPr>
      <w:r>
        <w:rPr>
          <w:rFonts w:ascii="Calibri" w:hAnsi="Calibri"/>
          <w:i/>
          <w:color w:val="666666"/>
        </w:rPr>
        <w:t>Fig. 3 — Delta, Gamma, Vega, Theta vs stock price S.</w:t>
      </w:r>
    </w:p>
    <w:p w:rsidR="004B029D" w:rsidRDefault="004B029D" w:rsidP="004B029D">
      <w:pPr>
        <w:keepNext/>
        <w:spacing w:before="8" w:after="4" w:line="216" w:lineRule="auto"/>
      </w:pPr>
      <w:r>
        <w:rPr>
          <w:rFonts w:ascii="Calibri" w:hAnsi="Calibri"/>
          <w:b/>
          <w:color w:val="8B1A1A"/>
        </w:rPr>
        <w:t>Task VII: Replicating Portfolio</w:t>
      </w: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>Dynamic delta-hedging: Δ×S in RHM.DE stock + bond. Equity fraction = Δ×S / Value. As S fell toward B=EUR 1,050 over Sep 2025–Jun 2026, Delta rose toward 1.0 — the cert behaved like a leveraged stock position near the barrier. Near B, fraction exceeds 130%: portfolio goes short bonds, leveraged long stock to hedge the down-and-out put. Above B the fraction falls to near zero (capped forward mode). Barrier breach eliminates the put — no capital floor remains.</w:t>
      </w:r>
    </w:p>
    <w:p w:rsidR="004B029D" w:rsidRDefault="004B029D" w:rsidP="004B029D">
      <w:pPr>
        <w:spacing w:after="6" w:line="216" w:lineRule="auto"/>
        <w:jc w:val="center"/>
      </w:pPr>
      <w:r>
        <w:rPr>
          <w:noProof/>
        </w:rPr>
        <w:drawing>
          <wp:inline distT="0" distB="0" distL="0" distR="0" wp14:anchorId="5FC4AD57" wp14:editId="173AC8BC">
            <wp:extent cx="2581399" cy="1534886"/>
            <wp:effectExtent l="0" t="0" r="0" b="1905"/>
            <wp:docPr id="4" name="Picture 4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graph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4946" cy="15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Default="004B029D" w:rsidP="004B029D">
      <w:pPr>
        <w:spacing w:after="10" w:line="216" w:lineRule="auto"/>
        <w:jc w:val="center"/>
      </w:pPr>
      <w:r>
        <w:rPr>
          <w:rFonts w:ascii="Calibri" w:hAnsi="Calibri"/>
          <w:i/>
          <w:color w:val="666666"/>
        </w:rPr>
        <w:t>Fig. 4 — Equity fraction (Δ×S / Value) vs stock price S.</w:t>
      </w:r>
    </w:p>
    <w:p w:rsidR="004B029D" w:rsidRDefault="004B029D" w:rsidP="004B029D">
      <w:pPr>
        <w:keepNext/>
        <w:pBdr>
          <w:bottom w:val="single" w:sz="8" w:space="0" w:color="8B1A1A"/>
        </w:pBdr>
        <w:spacing w:before="6" w:after="7" w:line="216" w:lineRule="auto"/>
      </w:pPr>
      <w:r>
        <w:rPr>
          <w:rFonts w:ascii="Calibri" w:hAnsi="Calibri"/>
          <w:b/>
          <w:color w:val="8B1A1A"/>
        </w:rPr>
        <w:t>PART 3 — PORTFOLIO INSURANCE STRATEGY</w:t>
      </w:r>
    </w:p>
    <w:p w:rsidR="004B029D" w:rsidRDefault="004B029D" w:rsidP="004B029D">
      <w:pPr>
        <w:shd w:val="clear" w:color="auto" w:fill="EFEFEF"/>
        <w:spacing w:after="3" w:line="216" w:lineRule="auto"/>
      </w:pPr>
      <w:r>
        <w:rPr>
          <w:rFonts w:ascii="Calibri" w:hAnsi="Calibri"/>
          <w:b/>
          <w:color w:val="111111"/>
        </w:rPr>
        <w:t xml:space="preserve">EUR </w:t>
      </w:r>
      <w:proofErr w:type="gramStart"/>
      <w:r>
        <w:rPr>
          <w:rFonts w:ascii="Calibri" w:hAnsi="Calibri"/>
          <w:b/>
          <w:color w:val="111111"/>
        </w:rPr>
        <w:t>10,000  |</w:t>
      </w:r>
      <w:proofErr w:type="gramEnd"/>
      <w:r>
        <w:rPr>
          <w:rFonts w:ascii="Calibri" w:hAnsi="Calibri"/>
          <w:b/>
          <w:color w:val="111111"/>
        </w:rPr>
        <w:t xml:space="preserve">  T*=1 </w:t>
      </w:r>
      <w:proofErr w:type="gramStart"/>
      <w:r>
        <w:rPr>
          <w:rFonts w:ascii="Calibri" w:hAnsi="Calibri"/>
          <w:b/>
          <w:color w:val="111111"/>
        </w:rPr>
        <w:t>yr  |</w:t>
      </w:r>
      <w:proofErr w:type="gramEnd"/>
      <w:r>
        <w:rPr>
          <w:rFonts w:ascii="Calibri" w:hAnsi="Calibri"/>
          <w:b/>
          <w:color w:val="111111"/>
        </w:rPr>
        <w:t xml:space="preserve">  S₀=EUR </w:t>
      </w:r>
      <w:proofErr w:type="gramStart"/>
      <w:r>
        <w:rPr>
          <w:rFonts w:ascii="Calibri" w:hAnsi="Calibri"/>
          <w:b/>
          <w:color w:val="111111"/>
        </w:rPr>
        <w:t>1,207  |</w:t>
      </w:r>
      <w:proofErr w:type="gramEnd"/>
      <w:r>
        <w:rPr>
          <w:rFonts w:ascii="Calibri" w:hAnsi="Calibri"/>
          <w:b/>
          <w:color w:val="111111"/>
        </w:rPr>
        <w:t xml:space="preserve">  μ=54.05</w:t>
      </w:r>
      <w:proofErr w:type="gramStart"/>
      <w:r>
        <w:rPr>
          <w:rFonts w:ascii="Calibri" w:hAnsi="Calibri"/>
          <w:b/>
          <w:color w:val="111111"/>
        </w:rPr>
        <w:t>%  |</w:t>
      </w:r>
      <w:proofErr w:type="gramEnd"/>
      <w:r>
        <w:rPr>
          <w:rFonts w:ascii="Calibri" w:hAnsi="Calibri"/>
          <w:b/>
          <w:color w:val="111111"/>
        </w:rPr>
        <w:t xml:space="preserve">  σ=39.88</w:t>
      </w:r>
      <w:proofErr w:type="gramStart"/>
      <w:r>
        <w:rPr>
          <w:rFonts w:ascii="Calibri" w:hAnsi="Calibri"/>
          <w:b/>
          <w:color w:val="111111"/>
        </w:rPr>
        <w:t>%  |</w:t>
      </w:r>
      <w:proofErr w:type="gramEnd"/>
      <w:r>
        <w:rPr>
          <w:rFonts w:ascii="Calibri" w:hAnsi="Calibri"/>
          <w:b/>
          <w:color w:val="111111"/>
        </w:rPr>
        <w:t xml:space="preserve">  r=3.07%</w:t>
      </w:r>
    </w:p>
    <w:p w:rsidR="004B029D" w:rsidRDefault="004B029D" w:rsidP="004B029D">
      <w:pPr>
        <w:shd w:val="clear" w:color="auto" w:fill="EFEFEF"/>
        <w:spacing w:after="6" w:line="216" w:lineRule="auto"/>
      </w:pPr>
      <w:r>
        <w:rPr>
          <w:rFonts w:ascii="Calibri" w:hAnsi="Calibri"/>
          <w:color w:val="111111"/>
        </w:rPr>
        <w:t xml:space="preserve">50,000 GBM paths × 252 </w:t>
      </w:r>
      <w:proofErr w:type="gramStart"/>
      <w:r>
        <w:rPr>
          <w:rFonts w:ascii="Calibri" w:hAnsi="Calibri"/>
          <w:color w:val="111111"/>
        </w:rPr>
        <w:t>steps  |</w:t>
      </w:r>
      <w:proofErr w:type="gramEnd"/>
      <w:r>
        <w:rPr>
          <w:rFonts w:ascii="Calibri" w:hAnsi="Calibri"/>
          <w:color w:val="111111"/>
        </w:rPr>
        <w:t xml:space="preserve">  seed </w:t>
      </w:r>
      <w:proofErr w:type="gramStart"/>
      <w:r>
        <w:rPr>
          <w:rFonts w:ascii="Calibri" w:hAnsi="Calibri"/>
          <w:color w:val="111111"/>
        </w:rPr>
        <w:t>2026  |</w:t>
      </w:r>
      <w:proofErr w:type="gramEnd"/>
      <w:r>
        <w:rPr>
          <w:rFonts w:ascii="Calibri" w:hAnsi="Calibri"/>
          <w:color w:val="111111"/>
        </w:rPr>
        <w:t xml:space="preserve">  Terminal range: EUR 330–11,233</w:t>
      </w:r>
    </w:p>
    <w:p w:rsidR="004B029D" w:rsidRDefault="004B029D" w:rsidP="004B029D">
      <w:pPr>
        <w:keepNext/>
        <w:spacing w:before="8" w:after="4" w:line="216" w:lineRule="auto"/>
      </w:pPr>
      <w:r>
        <w:rPr>
          <w:rFonts w:ascii="Calibri" w:hAnsi="Calibri"/>
          <w:b/>
          <w:color w:val="8B1A1A"/>
        </w:rPr>
        <w:t>Task VIII: Without Risk Management</w:t>
      </w:r>
    </w:p>
    <w:p w:rsidR="004B029D" w:rsidRDefault="004B029D" w:rsidP="004B029D">
      <w:r>
        <w:t xml:space="preserve">Mean=54.03% | σ=39.92% | Sharpe=1.277 | </w:t>
      </w:r>
      <w:proofErr w:type="spellStart"/>
      <w:r>
        <w:t>VaR</w:t>
      </w:r>
      <w:proofErr w:type="spellEnd"/>
      <w:r>
        <w:t>ₕ=11.32% | CVaRₕ=28.38% | P(loss)=8.7%</w:t>
      </w:r>
    </w:p>
    <w:p w:rsidR="004B029D" w:rsidRDefault="004B029D" w:rsidP="004B029D">
      <w:pPr>
        <w:spacing w:after="8" w:line="216" w:lineRule="auto"/>
      </w:pP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 xml:space="preserve">Log-returns nearly symmetric (skewness=0.007), consistent with GBM. 91.3% of paths finish above S₀. The unhedged 95% </w:t>
      </w:r>
      <w:proofErr w:type="spellStart"/>
      <w:r>
        <w:rPr>
          <w:rFonts w:ascii="Calibri" w:hAnsi="Calibri"/>
          <w:color w:val="111111"/>
        </w:rPr>
        <w:t>VaR</w:t>
      </w:r>
      <w:proofErr w:type="spellEnd"/>
      <w:r>
        <w:rPr>
          <w:rFonts w:ascii="Calibri" w:hAnsi="Calibri"/>
          <w:color w:val="111111"/>
        </w:rPr>
        <w:t>=11.32% is the baseline — counter-intuitively, adding insurance raises this metric (see Task IX).</w:t>
      </w:r>
    </w:p>
    <w:p w:rsidR="004B029D" w:rsidRDefault="004B029D" w:rsidP="004B029D">
      <w:pPr>
        <w:spacing w:after="6" w:line="216" w:lineRule="auto"/>
        <w:jc w:val="center"/>
      </w:pPr>
      <w:r>
        <w:rPr>
          <w:noProof/>
        </w:rPr>
        <w:drawing>
          <wp:inline distT="0" distB="0" distL="0" distR="0" wp14:anchorId="45339DE0" wp14:editId="683C8273">
            <wp:extent cx="2656114" cy="15793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764" cy="158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Default="004B029D" w:rsidP="004B029D">
      <w:pPr>
        <w:spacing w:after="10" w:line="216" w:lineRule="auto"/>
        <w:jc w:val="center"/>
      </w:pPr>
      <w:r>
        <w:rPr>
          <w:rFonts w:ascii="Calibri" w:hAnsi="Calibri"/>
          <w:i/>
          <w:color w:val="666666"/>
        </w:rPr>
        <w:t>Fig. 5 — Terminal wealth distribution, unhedged (50,000 GBM paths).</w:t>
      </w:r>
    </w:p>
    <w:p w:rsidR="004B029D" w:rsidRDefault="004B029D" w:rsidP="004B029D">
      <w:pPr>
        <w:keepNext/>
        <w:spacing w:before="8" w:after="4" w:line="216" w:lineRule="auto"/>
      </w:pPr>
      <w:r>
        <w:rPr>
          <w:rFonts w:ascii="Calibri" w:hAnsi="Calibri"/>
          <w:b/>
          <w:color w:val="8B1A1A"/>
        </w:rPr>
        <w:t>Task IX: Portfolio Insurance — Full Grid</w:t>
      </w: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>(1−</w:t>
      </w:r>
      <w:proofErr w:type="gramStart"/>
      <w:r>
        <w:rPr>
          <w:rFonts w:ascii="Calibri" w:hAnsi="Calibri"/>
          <w:color w:val="111111"/>
        </w:rPr>
        <w:t>α)×</w:t>
      </w:r>
      <w:proofErr w:type="gramEnd"/>
      <w:r>
        <w:rPr>
          <w:rFonts w:ascii="Calibri" w:hAnsi="Calibri"/>
          <w:color w:val="111111"/>
        </w:rPr>
        <w:t xml:space="preserve">stock + α×BS puts (σ=39.88%). In this high-drift regime </w:t>
      </w:r>
      <w:proofErr w:type="spellStart"/>
      <w:r>
        <w:rPr>
          <w:rFonts w:ascii="Calibri" w:hAnsi="Calibri"/>
          <w:color w:val="111111"/>
        </w:rPr>
        <w:t>VaR</w:t>
      </w:r>
      <w:proofErr w:type="spellEnd"/>
      <w:r>
        <w:rPr>
          <w:rFonts w:ascii="Calibri" w:hAnsi="Calibri"/>
          <w:color w:val="111111"/>
        </w:rPr>
        <w:t xml:space="preserve"> rises with α: puts expire worthless at the 5th-percentile tail, so premium drag dominates. Higher K (ATM puts) reduces </w:t>
      </w:r>
      <w:proofErr w:type="spellStart"/>
      <w:r>
        <w:rPr>
          <w:rFonts w:ascii="Calibri" w:hAnsi="Calibri"/>
          <w:color w:val="111111"/>
        </w:rPr>
        <w:t>VaR</w:t>
      </w:r>
      <w:proofErr w:type="spellEnd"/>
      <w:r>
        <w:rPr>
          <w:rFonts w:ascii="Calibri" w:hAnsi="Calibri"/>
          <w:color w:val="111111"/>
        </w:rPr>
        <w:t xml:space="preserve"> at a given α by paying off in more downside paths.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"/>
        <w:gridCol w:w="747"/>
        <w:gridCol w:w="913"/>
        <w:gridCol w:w="747"/>
        <w:gridCol w:w="747"/>
        <w:gridCol w:w="747"/>
        <w:gridCol w:w="830"/>
      </w:tblGrid>
      <w:tr w:rsidR="004B029D" w:rsidTr="005B3FFF">
        <w:trPr>
          <w:trHeight w:val="227"/>
        </w:trPr>
        <w:tc>
          <w:tcPr>
            <w:tcW w:w="49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α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K</w:t>
            </w:r>
          </w:p>
        </w:tc>
        <w:tc>
          <w:tcPr>
            <w:tcW w:w="91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Mean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Sharpe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VaR</w:t>
            </w:r>
            <w:proofErr w:type="spellEnd"/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CVaR</w:t>
            </w:r>
          </w:p>
        </w:tc>
        <w:tc>
          <w:tcPr>
            <w:tcW w:w="83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P(loss)</w:t>
            </w:r>
          </w:p>
        </w:tc>
      </w:tr>
      <w:tr w:rsidR="004B029D" w:rsidTr="005B3FFF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95%S₀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49.50%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1.201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13.63%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22.15%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10.9%</w:t>
            </w:r>
          </w:p>
        </w:tc>
      </w:tr>
      <w:tr w:rsidR="004B029D" w:rsidTr="005B3FFF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10%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95%S₀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44.66%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1.105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16.00%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16.79%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13.7%</w:t>
            </w:r>
          </w:p>
        </w:tc>
      </w:tr>
      <w:tr w:rsidR="004B029D" w:rsidTr="005B3FFF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15%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95%S₀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39.49%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0.990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16.07%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18.77%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17.1%</w:t>
            </w:r>
          </w:p>
        </w:tc>
      </w:tr>
      <w:tr w:rsidR="004B029D" w:rsidTr="005B3FFF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20%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95%S₀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34.32%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0.851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16.07%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19.02%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20.1%</w:t>
            </w:r>
          </w:p>
        </w:tc>
      </w:tr>
    </w:tbl>
    <w:p w:rsidR="004B029D" w:rsidRDefault="004B029D" w:rsidP="004B029D">
      <w:pPr>
        <w:spacing w:after="8" w:line="216" w:lineRule="auto"/>
      </w:pPr>
    </w:p>
    <w:p w:rsidR="004B029D" w:rsidRDefault="004B029D" w:rsidP="004B029D">
      <w:pPr>
        <w:spacing w:after="6" w:line="216" w:lineRule="auto"/>
        <w:jc w:val="center"/>
      </w:pPr>
      <w:r>
        <w:rPr>
          <w:noProof/>
        </w:rPr>
        <w:drawing>
          <wp:inline distT="0" distB="0" distL="0" distR="0" wp14:anchorId="74655B14" wp14:editId="6F63FE48">
            <wp:extent cx="3717632" cy="1368000"/>
            <wp:effectExtent l="0" t="0" r="0" b="0"/>
            <wp:docPr id="6" name="Picture 6" descr="A graph showing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showing different colored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7632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Default="004B029D" w:rsidP="004B029D">
      <w:pPr>
        <w:spacing w:after="10" w:line="216" w:lineRule="auto"/>
        <w:jc w:val="center"/>
      </w:pPr>
      <w:r>
        <w:rPr>
          <w:rFonts w:ascii="Calibri" w:hAnsi="Calibri"/>
          <w:i/>
          <w:color w:val="666666"/>
        </w:rPr>
        <w:t xml:space="preserve">Fig. 6 — 95% </w:t>
      </w:r>
      <w:proofErr w:type="spellStart"/>
      <w:r>
        <w:rPr>
          <w:rFonts w:ascii="Calibri" w:hAnsi="Calibri"/>
          <w:i/>
          <w:color w:val="666666"/>
        </w:rPr>
        <w:t>VaR</w:t>
      </w:r>
      <w:proofErr w:type="spellEnd"/>
      <w:r>
        <w:rPr>
          <w:rFonts w:ascii="Calibri" w:hAnsi="Calibri"/>
          <w:i/>
          <w:color w:val="666666"/>
        </w:rPr>
        <w:t xml:space="preserve"> (left) and mean return (right) across α and K.</w:t>
      </w:r>
    </w:p>
    <w:p w:rsidR="004B029D" w:rsidRDefault="004B029D" w:rsidP="004B029D">
      <w:pPr>
        <w:keepNext/>
        <w:spacing w:before="8" w:after="4" w:line="216" w:lineRule="auto"/>
      </w:pPr>
      <w:r>
        <w:rPr>
          <w:rFonts w:ascii="Calibri" w:hAnsi="Calibri"/>
          <w:b/>
          <w:color w:val="8B1A1A"/>
        </w:rPr>
        <w:t xml:space="preserve">Task X: Stress </w:t>
      </w:r>
      <w:proofErr w:type="gramStart"/>
      <w:r>
        <w:rPr>
          <w:rFonts w:ascii="Calibri" w:hAnsi="Calibri"/>
          <w:b/>
          <w:color w:val="8B1A1A"/>
        </w:rPr>
        <w:t>Scenarios  (</w:t>
      </w:r>
      <w:proofErr w:type="gramEnd"/>
      <w:r>
        <w:rPr>
          <w:rFonts w:ascii="Calibri" w:hAnsi="Calibri"/>
          <w:b/>
          <w:color w:val="8B1A1A"/>
        </w:rPr>
        <w:t>α=10%, K=95%S₀)</w:t>
      </w: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 xml:space="preserve">Only Vol −5pp is </w:t>
      </w:r>
      <w:proofErr w:type="spellStart"/>
      <w:r>
        <w:rPr>
          <w:rFonts w:ascii="Calibri" w:hAnsi="Calibri"/>
          <w:color w:val="111111"/>
        </w:rPr>
        <w:t>VaR</w:t>
      </w:r>
      <w:proofErr w:type="spellEnd"/>
      <w:r>
        <w:rPr>
          <w:rFonts w:ascii="Calibri" w:hAnsi="Calibri"/>
          <w:color w:val="111111"/>
        </w:rPr>
        <w:t>-compliant (13.62% &lt; 15%). The −20% mid-horizon shock is the dominant stress driver — it triples P(loss) to 29.8% and collapses mean return to 24.82%, far beyond pure volatility perturbations. This confirms path dependency (entry-point timing) matters more than vol estimation error.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8"/>
        <w:gridCol w:w="941"/>
        <w:gridCol w:w="941"/>
        <w:gridCol w:w="941"/>
        <w:gridCol w:w="836"/>
      </w:tblGrid>
      <w:tr w:rsidR="004B029D" w:rsidTr="005B3FFF">
        <w:trPr>
          <w:trHeight w:val="238"/>
        </w:trPr>
        <w:tc>
          <w:tcPr>
            <w:tcW w:w="156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Scenario</w:t>
            </w:r>
          </w:p>
        </w:tc>
        <w:tc>
          <w:tcPr>
            <w:tcW w:w="94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Mean</w:t>
            </w:r>
          </w:p>
        </w:tc>
        <w:tc>
          <w:tcPr>
            <w:tcW w:w="94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</w:rPr>
              <w:t>VaR</w:t>
            </w:r>
            <w:proofErr w:type="spellEnd"/>
            <w:r>
              <w:rPr>
                <w:rFonts w:ascii="Calibri" w:hAnsi="Calibri"/>
                <w:b/>
                <w:color w:val="FFFFFF"/>
              </w:rPr>
              <w:t xml:space="preserve"> 95%</w:t>
            </w:r>
          </w:p>
        </w:tc>
        <w:tc>
          <w:tcPr>
            <w:tcW w:w="94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CVaR 95%</w:t>
            </w:r>
          </w:p>
        </w:tc>
        <w:tc>
          <w:tcPr>
            <w:tcW w:w="836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center"/>
            </w:pPr>
            <w:r>
              <w:rPr>
                <w:rFonts w:ascii="Calibri" w:hAnsi="Calibri"/>
                <w:b/>
                <w:color w:val="FFFFFF"/>
              </w:rPr>
              <w:t>P(loss)</w:t>
            </w:r>
          </w:p>
        </w:tc>
      </w:tr>
      <w:tr w:rsidR="004B029D" w:rsidTr="005B3FFF">
        <w:trPr>
          <w:trHeight w:val="238"/>
        </w:trPr>
        <w:tc>
          <w:tcPr>
            <w:tcW w:w="156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Baseline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44.66%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16.00%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16.79%</w:t>
            </w:r>
          </w:p>
        </w:tc>
        <w:tc>
          <w:tcPr>
            <w:tcW w:w="83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13.7%</w:t>
            </w:r>
          </w:p>
        </w:tc>
      </w:tr>
      <w:tr w:rsidR="004B029D" w:rsidTr="005B3FFF">
        <w:trPr>
          <w:trHeight w:val="238"/>
        </w:trPr>
        <w:tc>
          <w:tcPr>
            <w:tcW w:w="156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Vol +5 pp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44.52%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16.77%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19.40%</w:t>
            </w:r>
          </w:p>
        </w:tc>
        <w:tc>
          <w:tcPr>
            <w:tcW w:w="83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13.7%</w:t>
            </w:r>
          </w:p>
        </w:tc>
      </w:tr>
      <w:tr w:rsidR="004B029D" w:rsidTr="005B3FFF">
        <w:trPr>
          <w:trHeight w:val="238"/>
        </w:trPr>
        <w:tc>
          <w:tcPr>
            <w:tcW w:w="156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Vol −5 pp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44.84%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13.62%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14.73%</w:t>
            </w:r>
          </w:p>
        </w:tc>
        <w:tc>
          <w:tcPr>
            <w:tcW w:w="83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13.7%</w:t>
            </w:r>
          </w:p>
        </w:tc>
      </w:tr>
      <w:tr w:rsidR="004B029D" w:rsidTr="005B3FFF">
        <w:trPr>
          <w:trHeight w:val="238"/>
        </w:trPr>
        <w:tc>
          <w:tcPr>
            <w:tcW w:w="156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</w:pPr>
            <w:r>
              <w:rPr>
                <w:rFonts w:ascii="Calibri" w:hAnsi="Calibri"/>
                <w:color w:val="111111"/>
              </w:rPr>
              <w:t>−20% shock T/2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24.82%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17.07%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17.70%</w:t>
            </w:r>
          </w:p>
        </w:tc>
        <w:tc>
          <w:tcPr>
            <w:tcW w:w="83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Default="004B029D" w:rsidP="005B3FFF">
            <w:pPr>
              <w:spacing w:after="0" w:line="216" w:lineRule="auto"/>
              <w:jc w:val="right"/>
            </w:pPr>
            <w:r>
              <w:rPr>
                <w:rFonts w:ascii="Calibri" w:hAnsi="Calibri"/>
                <w:color w:val="111111"/>
              </w:rPr>
              <w:t>29.8%</w:t>
            </w:r>
          </w:p>
        </w:tc>
      </w:tr>
    </w:tbl>
    <w:p w:rsidR="004B029D" w:rsidRDefault="004B029D" w:rsidP="004B029D">
      <w:pPr>
        <w:spacing w:after="8" w:line="216" w:lineRule="auto"/>
      </w:pPr>
    </w:p>
    <w:p w:rsidR="004B029D" w:rsidRDefault="004B029D" w:rsidP="004B029D">
      <w:pPr>
        <w:keepNext/>
        <w:spacing w:before="8" w:after="4" w:line="216" w:lineRule="auto"/>
      </w:pPr>
      <w:r>
        <w:rPr>
          <w:rFonts w:ascii="Calibri" w:hAnsi="Calibri"/>
          <w:b/>
          <w:color w:val="8B1A1A"/>
        </w:rPr>
        <w:t xml:space="preserve">Task XI: Optimal </w:t>
      </w:r>
      <w:proofErr w:type="spellStart"/>
      <w:r>
        <w:rPr>
          <w:rFonts w:ascii="Calibri" w:hAnsi="Calibri"/>
          <w:b/>
          <w:color w:val="8B1A1A"/>
        </w:rPr>
        <w:t>VaR</w:t>
      </w:r>
      <w:proofErr w:type="spellEnd"/>
      <w:r>
        <w:rPr>
          <w:rFonts w:ascii="Calibri" w:hAnsi="Calibri"/>
          <w:b/>
          <w:color w:val="8B1A1A"/>
        </w:rPr>
        <w:t>-Constrained Allocation</w:t>
      </w:r>
    </w:p>
    <w:p w:rsidR="004B029D" w:rsidRDefault="004B029D" w:rsidP="004B029D">
      <w:pPr>
        <w:spacing w:after="8" w:line="216" w:lineRule="auto"/>
      </w:pPr>
      <w:r>
        <w:rPr>
          <w:rFonts w:ascii="Calibri" w:hAnsi="Calibri"/>
          <w:color w:val="111111"/>
        </w:rPr>
        <w:t xml:space="preserve">Constraint: 95% one-year </w:t>
      </w:r>
      <w:proofErr w:type="spellStart"/>
      <w:r>
        <w:rPr>
          <w:rFonts w:ascii="Calibri" w:hAnsi="Calibri"/>
          <w:color w:val="111111"/>
        </w:rPr>
        <w:t>VaR</w:t>
      </w:r>
      <w:proofErr w:type="spellEnd"/>
      <w:r>
        <w:rPr>
          <w:rFonts w:ascii="Calibri" w:hAnsi="Calibri"/>
          <w:color w:val="111111"/>
        </w:rPr>
        <w:t xml:space="preserve"> ≤ 15% at K=95%S₀. </w:t>
      </w:r>
      <w:proofErr w:type="spellStart"/>
      <w:r>
        <w:rPr>
          <w:rFonts w:ascii="Calibri" w:hAnsi="Calibri"/>
          <w:color w:val="111111"/>
        </w:rPr>
        <w:t>Brentq</w:t>
      </w:r>
      <w:proofErr w:type="spellEnd"/>
      <w:r>
        <w:rPr>
          <w:rFonts w:ascii="Calibri" w:hAnsi="Calibri"/>
          <w:color w:val="111111"/>
        </w:rPr>
        <w:t xml:space="preserve"> root-finding on </w:t>
      </w:r>
      <w:proofErr w:type="spellStart"/>
      <w:r>
        <w:rPr>
          <w:rFonts w:ascii="Calibri" w:hAnsi="Calibri"/>
          <w:color w:val="111111"/>
        </w:rPr>
        <w:t>VaR</w:t>
      </w:r>
      <w:proofErr w:type="spellEnd"/>
      <w:r>
        <w:rPr>
          <w:rFonts w:ascii="Calibri" w:hAnsi="Calibri"/>
          <w:color w:val="111111"/>
        </w:rPr>
        <w:t>(α)=15% (monotone confirmed over α</w:t>
      </w:r>
      <w:proofErr w:type="gramStart"/>
      <w:r>
        <w:rPr>
          <w:rFonts w:ascii="Calibri" w:hAnsi="Calibri"/>
          <w:color w:val="111111"/>
        </w:rPr>
        <w:t>∈[</w:t>
      </w:r>
      <w:proofErr w:type="gramEnd"/>
      <w:r>
        <w:rPr>
          <w:rFonts w:ascii="Calibri" w:hAnsi="Calibri"/>
          <w:color w:val="111111"/>
        </w:rPr>
        <w:t>0.1%,40%]).</w:t>
      </w:r>
    </w:p>
    <w:p w:rsidR="004B029D" w:rsidRDefault="004B029D" w:rsidP="004B029D">
      <w:pPr>
        <w:shd w:val="clear" w:color="auto" w:fill="8B1A1A"/>
        <w:spacing w:before="22" w:after="22" w:line="216" w:lineRule="auto"/>
        <w:jc w:val="center"/>
      </w:pPr>
      <w:r>
        <w:rPr>
          <w:rFonts w:ascii="Calibri" w:hAnsi="Calibri"/>
          <w:b/>
          <w:color w:val="FFFFFF"/>
        </w:rPr>
        <w:t xml:space="preserve">α* = 7.90%   |   </w:t>
      </w:r>
      <w:proofErr w:type="spellStart"/>
      <w:r>
        <w:rPr>
          <w:rFonts w:ascii="Calibri" w:hAnsi="Calibri"/>
          <w:b/>
          <w:color w:val="FFFFFF"/>
        </w:rPr>
        <w:t>VaR</w:t>
      </w:r>
      <w:proofErr w:type="spellEnd"/>
      <w:r>
        <w:rPr>
          <w:rFonts w:ascii="Calibri" w:hAnsi="Calibri"/>
          <w:b/>
          <w:color w:val="FFFFFF"/>
        </w:rPr>
        <w:t xml:space="preserve"> = 15.00%   |   E[r] = 46.73%   |   Sharpe = 1.148</w:t>
      </w:r>
    </w:p>
    <w:p w:rsidR="004B029D" w:rsidRDefault="004B029D" w:rsidP="004B029D">
      <w:pPr>
        <w:spacing w:after="8" w:line="216" w:lineRule="auto"/>
      </w:pPr>
      <w:proofErr w:type="spellStart"/>
      <w:r>
        <w:rPr>
          <w:rFonts w:ascii="Calibri" w:hAnsi="Calibri"/>
          <w:color w:val="111111"/>
        </w:rPr>
        <w:t>VaR</w:t>
      </w:r>
      <w:proofErr w:type="spellEnd"/>
      <w:r>
        <w:rPr>
          <w:rFonts w:ascii="Calibri" w:hAnsi="Calibri"/>
          <w:color w:val="111111"/>
        </w:rPr>
        <w:t xml:space="preserve"> is monotone increasing in α: at the 5th percentile the stock has risen modestly (μ dominates), so the put expires worthless and only the premium drag remains — making more insurance costlier at the </w:t>
      </w:r>
      <w:proofErr w:type="spellStart"/>
      <w:r>
        <w:rPr>
          <w:rFonts w:ascii="Calibri" w:hAnsi="Calibri"/>
          <w:color w:val="111111"/>
        </w:rPr>
        <w:t>VaR</w:t>
      </w:r>
      <w:proofErr w:type="spellEnd"/>
      <w:r>
        <w:rPr>
          <w:rFonts w:ascii="Calibri" w:hAnsi="Calibri"/>
          <w:color w:val="111111"/>
        </w:rPr>
        <w:t xml:space="preserve"> quantile. α*=7.90% is the regulatory ceiling; above it the constraint is violated.</w:t>
      </w:r>
    </w:p>
    <w:p w:rsidR="004B029D" w:rsidRDefault="004B029D" w:rsidP="004B029D">
      <w:pPr>
        <w:spacing w:after="6" w:line="216" w:lineRule="auto"/>
        <w:jc w:val="center"/>
      </w:pPr>
      <w:r>
        <w:rPr>
          <w:noProof/>
        </w:rPr>
        <w:drawing>
          <wp:inline distT="0" distB="0" distL="0" distR="0" wp14:anchorId="6A1EFF46" wp14:editId="423408A8">
            <wp:extent cx="2383972" cy="1417496"/>
            <wp:effectExtent l="0" t="0" r="381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7581" cy="142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6E" w:rsidRDefault="004B029D" w:rsidP="004B029D">
      <w:pPr>
        <w:keepNext/>
        <w:pBdr>
          <w:bottom w:val="single" w:sz="8" w:space="0" w:color="8B1A1A"/>
        </w:pBdr>
        <w:spacing w:before="6" w:after="7" w:line="216" w:lineRule="auto"/>
      </w:pPr>
      <w:r>
        <w:rPr>
          <w:rFonts w:ascii="Calibri" w:hAnsi="Calibri"/>
          <w:i/>
          <w:color w:val="666666"/>
        </w:rPr>
        <w:t xml:space="preserve">Fig. 7 — 95% </w:t>
      </w:r>
      <w:proofErr w:type="spellStart"/>
      <w:r>
        <w:rPr>
          <w:rFonts w:ascii="Calibri" w:hAnsi="Calibri"/>
          <w:i/>
          <w:color w:val="666666"/>
        </w:rPr>
        <w:t>VaR</w:t>
      </w:r>
      <w:proofErr w:type="spellEnd"/>
      <w:r>
        <w:rPr>
          <w:rFonts w:ascii="Calibri" w:hAnsi="Calibri"/>
          <w:i/>
          <w:color w:val="666666"/>
        </w:rPr>
        <w:t xml:space="preserve"> vs α (K=95%S₀); 15% limit and α*=7.90% marke</w:t>
      </w:r>
      <w:r>
        <w:rPr>
          <w:rFonts w:ascii="Calibri" w:hAnsi="Calibri"/>
          <w:i/>
          <w:color w:val="666666"/>
        </w:rPr>
        <w:t>d.</w:t>
      </w:r>
    </w:p>
    <w:sectPr w:rsidR="009C0B6E" w:rsidSect="004B029D">
      <w:type w:val="continuous"/>
      <w:pgSz w:w="23820" w:h="16840" w:orient="landscape"/>
      <w:pgMar w:top="567" w:right="567" w:bottom="567" w:left="567" w:header="720" w:footer="720" w:gutter="0"/>
      <w:cols w:num="4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321337">
    <w:abstractNumId w:val="8"/>
  </w:num>
  <w:num w:numId="2" w16cid:durableId="1913588645">
    <w:abstractNumId w:val="6"/>
  </w:num>
  <w:num w:numId="3" w16cid:durableId="700084703">
    <w:abstractNumId w:val="5"/>
  </w:num>
  <w:num w:numId="4" w16cid:durableId="1862626468">
    <w:abstractNumId w:val="4"/>
  </w:num>
  <w:num w:numId="5" w16cid:durableId="2007899203">
    <w:abstractNumId w:val="7"/>
  </w:num>
  <w:num w:numId="6" w16cid:durableId="1759280400">
    <w:abstractNumId w:val="3"/>
  </w:num>
  <w:num w:numId="7" w16cid:durableId="1550998426">
    <w:abstractNumId w:val="2"/>
  </w:num>
  <w:num w:numId="8" w16cid:durableId="1789080371">
    <w:abstractNumId w:val="1"/>
  </w:num>
  <w:num w:numId="9" w16cid:durableId="66316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100"/>
    <w:rsid w:val="00326F90"/>
    <w:rsid w:val="004B029D"/>
    <w:rsid w:val="00562680"/>
    <w:rsid w:val="00581CB2"/>
    <w:rsid w:val="006671C1"/>
    <w:rsid w:val="00877D39"/>
    <w:rsid w:val="009C0B6E"/>
    <w:rsid w:val="00AA1D8D"/>
    <w:rsid w:val="00B2112D"/>
    <w:rsid w:val="00B45957"/>
    <w:rsid w:val="00B47730"/>
    <w:rsid w:val="00CB0664"/>
    <w:rsid w:val="00D25BF7"/>
    <w:rsid w:val="00D81446"/>
    <w:rsid w:val="00E529AE"/>
    <w:rsid w:val="00F714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08649"/>
  <w14:defaultImageDpi w14:val="300"/>
  <w15:docId w15:val="{F7B91E12-B843-5A46-8F72-A637ADFE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daanish muzaffar</cp:lastModifiedBy>
  <cp:revision>3</cp:revision>
  <cp:lastPrinted>2026-06-21T10:59:00Z</cp:lastPrinted>
  <dcterms:created xsi:type="dcterms:W3CDTF">2026-06-21T10:59:00Z</dcterms:created>
  <dcterms:modified xsi:type="dcterms:W3CDTF">2026-06-21T13:29:00Z</dcterms:modified>
  <cp:category/>
</cp:coreProperties>
</file>