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B401 — Continuous-Time Derivatives Pricing</w:t>
      </w:r>
    </w:p>
    <w:p>
      <w:pPr>
        <w:jc w:val="center"/>
      </w:pPr>
      <w:r>
        <w:rPr>
          <w:b/>
          <w:sz w:val="26"/>
        </w:rPr>
        <w:t>Presentation Notes &amp; Grader Q&amp;A Preparation</w:t>
      </w:r>
    </w:p>
    <w:p>
      <w:pPr>
        <w:jc w:val="center"/>
      </w:pPr>
      <w:r>
        <w:t>University of Tübingen · Prof. Dr. Christian Koziol · Summer Term 2026</w:t>
        <w:br/>
        <w:t>Student: Daanish Muzaffar (7259472)</w:t>
      </w:r>
    </w:p>
    <w:p/>
    <w:p>
      <w:pPr>
        <w:jc w:val="center"/>
      </w:pPr>
      <w:r>
        <w:rPr>
          <w:b/>
          <w:color w:val="1F497D"/>
          <w:sz w:val="28"/>
        </w:rPr>
        <w:t>Grade: 99 / 115 pts  →  1.7 (Gut)</w:t>
      </w:r>
    </w:p>
    <w:p>
      <w:r>
        <w:br w:type="page"/>
      </w:r>
    </w:p>
    <w:p>
      <w:pPr>
        <w:pStyle w:val="Heading1"/>
      </w:pPr>
      <w:r>
        <w:rPr>
          <w:color w:val="8B0000"/>
        </w:rPr>
        <w:t>Grade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268"/>
          </w:tcPr>
          <w:p>
            <w:r>
              <w:rPr>
                <w:b/>
              </w:rPr>
              <w:t>Max</w:t>
            </w:r>
          </w:p>
        </w:tc>
        <w:tc>
          <w:tcPr>
            <w:tcW w:type="dxa" w:w="2268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2268"/>
          </w:tcPr>
          <w:p>
            <w:r>
              <w:t>Part 1</w:t>
            </w:r>
          </w:p>
        </w:tc>
        <w:tc>
          <w:tcPr>
            <w:tcW w:type="dxa" w:w="2268"/>
          </w:tcPr>
          <w:p>
            <w:r>
              <w:t>I — Investor Profile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8</w:t>
            </w:r>
          </w:p>
        </w:tc>
      </w:tr>
      <w:tr>
        <w:tc>
          <w:tcPr>
            <w:tcW w:type="dxa" w:w="2268"/>
          </w:tcPr>
          <w:p>
            <w:r>
              <w:t>Part 1</w:t>
            </w:r>
          </w:p>
        </w:tc>
        <w:tc>
          <w:tcPr>
            <w:tcW w:type="dxa" w:w="2268"/>
          </w:tcPr>
          <w:p>
            <w:r>
              <w:t>II — Product Design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8</w:t>
            </w:r>
          </w:p>
        </w:tc>
      </w:tr>
      <w:tr>
        <w:tc>
          <w:tcPr>
            <w:tcW w:type="dxa" w:w="2268"/>
          </w:tcPr>
          <w:p>
            <w:r>
              <w:t>Part 1</w:t>
            </w:r>
          </w:p>
        </w:tc>
        <w:tc>
          <w:tcPr>
            <w:tcW w:type="dxa" w:w="2268"/>
          </w:tcPr>
          <w:p>
            <w:r>
              <w:t>III — Product Payoff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9</w:t>
            </w:r>
          </w:p>
        </w:tc>
      </w:tr>
      <w:tr>
        <w:tc>
          <w:tcPr>
            <w:tcW w:type="dxa" w:w="2268"/>
          </w:tcPr>
          <w:p>
            <w:r>
              <w:t>Part 1</w:t>
            </w:r>
          </w:p>
        </w:tc>
        <w:tc>
          <w:tcPr>
            <w:tcW w:type="dxa" w:w="2268"/>
          </w:tcPr>
          <w:p>
            <w:r>
              <w:t>IV — Market Size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8</w:t>
            </w:r>
          </w:p>
        </w:tc>
      </w:tr>
      <w:tr>
        <w:tc>
          <w:tcPr>
            <w:tcW w:type="dxa" w:w="2268"/>
          </w:tcPr>
          <w:p>
            <w:r>
              <w:t>Part 2</w:t>
            </w:r>
          </w:p>
        </w:tc>
        <w:tc>
          <w:tcPr>
            <w:tcW w:type="dxa" w:w="2268"/>
          </w:tcPr>
          <w:p>
            <w:r>
              <w:t>V — Valuation</w:t>
            </w:r>
          </w:p>
        </w:tc>
        <w:tc>
          <w:tcPr>
            <w:tcW w:type="dxa" w:w="2268"/>
          </w:tcPr>
          <w:p>
            <w:r>
              <w:t>15</w:t>
            </w:r>
          </w:p>
        </w:tc>
        <w:tc>
          <w:tcPr>
            <w:tcW w:type="dxa" w:w="2268"/>
          </w:tcPr>
          <w:p>
            <w:r>
              <w:t>14</w:t>
            </w:r>
          </w:p>
        </w:tc>
      </w:tr>
      <w:tr>
        <w:tc>
          <w:tcPr>
            <w:tcW w:type="dxa" w:w="2268"/>
          </w:tcPr>
          <w:p>
            <w:r>
              <w:t>Part 2</w:t>
            </w:r>
          </w:p>
        </w:tc>
        <w:tc>
          <w:tcPr>
            <w:tcW w:type="dxa" w:w="2268"/>
          </w:tcPr>
          <w:p>
            <w:r>
              <w:t>VI — Greeks</w:t>
            </w:r>
          </w:p>
        </w:tc>
        <w:tc>
          <w:tcPr>
            <w:tcW w:type="dxa" w:w="2268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10</w:t>
            </w:r>
          </w:p>
        </w:tc>
      </w:tr>
      <w:tr>
        <w:tc>
          <w:tcPr>
            <w:tcW w:type="dxa" w:w="2268"/>
          </w:tcPr>
          <w:p>
            <w:r>
              <w:t>Part 2</w:t>
            </w:r>
          </w:p>
        </w:tc>
        <w:tc>
          <w:tcPr>
            <w:tcW w:type="dxa" w:w="2268"/>
          </w:tcPr>
          <w:p>
            <w:r>
              <w:t>VII — Replicating Portfolio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7</w:t>
            </w:r>
          </w:p>
        </w:tc>
      </w:tr>
      <w:tr>
        <w:tc>
          <w:tcPr>
            <w:tcW w:type="dxa" w:w="2268"/>
          </w:tcPr>
          <w:p>
            <w:r>
              <w:t>Part 3</w:t>
            </w:r>
          </w:p>
        </w:tc>
        <w:tc>
          <w:tcPr>
            <w:tcW w:type="dxa" w:w="2268"/>
          </w:tcPr>
          <w:p>
            <w:r>
              <w:t>VIII — MC (no insurance)</w:t>
            </w:r>
          </w:p>
        </w:tc>
        <w:tc>
          <w:tcPr>
            <w:tcW w:type="dxa" w:w="2268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8</w:t>
            </w:r>
          </w:p>
        </w:tc>
      </w:tr>
      <w:tr>
        <w:tc>
          <w:tcPr>
            <w:tcW w:type="dxa" w:w="2268"/>
          </w:tcPr>
          <w:p>
            <w:r>
              <w:t>Part 3</w:t>
            </w:r>
          </w:p>
        </w:tc>
        <w:tc>
          <w:tcPr>
            <w:tcW w:type="dxa" w:w="2268"/>
          </w:tcPr>
          <w:p>
            <w:r>
              <w:t>IX — MC (with insurance)</w:t>
            </w:r>
          </w:p>
        </w:tc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9</w:t>
            </w:r>
          </w:p>
        </w:tc>
      </w:tr>
      <w:tr>
        <w:tc>
          <w:tcPr>
            <w:tcW w:type="dxa" w:w="2268"/>
          </w:tcPr>
          <w:p>
            <w:r>
              <w:t>Part 3</w:t>
            </w:r>
          </w:p>
        </w:tc>
        <w:tc>
          <w:tcPr>
            <w:tcW w:type="dxa" w:w="2268"/>
          </w:tcPr>
          <w:p>
            <w:r>
              <w:t>X — Stress Scenarios</w:t>
            </w:r>
          </w:p>
        </w:tc>
        <w:tc>
          <w:tcPr>
            <w:tcW w:type="dxa" w:w="22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7</w:t>
            </w:r>
          </w:p>
        </w:tc>
      </w:tr>
      <w:tr>
        <w:tc>
          <w:tcPr>
            <w:tcW w:type="dxa" w:w="2268"/>
          </w:tcPr>
          <w:p>
            <w:r>
              <w:t>Part 3</w:t>
            </w:r>
          </w:p>
        </w:tc>
        <w:tc>
          <w:tcPr>
            <w:tcW w:type="dxa" w:w="2268"/>
          </w:tcPr>
          <w:p>
            <w:r>
              <w:t>XI — VaR Constraint</w:t>
            </w:r>
          </w:p>
        </w:tc>
        <w:tc>
          <w:tcPr>
            <w:tcW w:type="dxa" w:w="2268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7</w:t>
            </w:r>
          </w:p>
        </w:tc>
      </w:tr>
      <w:tr>
        <w:tc>
          <w:tcPr>
            <w:tcW w:type="dxa" w:w="2268"/>
          </w:tcPr>
          <w:p>
            <w:r>
              <w:t>Quality</w:t>
            </w:r>
          </w:p>
        </w:tc>
        <w:tc>
          <w:tcPr>
            <w:tcW w:type="dxa" w:w="2268"/>
          </w:tcPr>
          <w:p>
            <w:r>
              <w:t>Code</w:t>
            </w:r>
          </w:p>
        </w:tc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</w:p>
        </w:tc>
        <w:tc>
          <w:tcPr>
            <w:tcW w:type="dxa" w:w="2268"/>
          </w:tcPr>
          <w:p>
            <w:r>
              <w:rPr>
                <w:b/>
              </w:rPr>
              <w:t>115</w:t>
            </w:r>
          </w:p>
        </w:tc>
        <w:tc>
          <w:tcPr>
            <w:tcW w:type="dxa" w:w="2268"/>
          </w:tcPr>
          <w:p>
            <w:r>
              <w:rPr>
                <w:b/>
              </w:rPr>
              <w:t>99</w:t>
            </w:r>
          </w:p>
        </w:tc>
      </w:tr>
    </w:tbl>
    <w:p/>
    <w:p>
      <w:pPr>
        <w:spacing w:after="80"/>
      </w:pPr>
      <w:r>
        <w:t>Grading thresholds: 104–115 → 1.0 (Sehr gut) | 92–103 → 1.3–1.7 (Sehr gut/Gut) | 81–91 → 2.0–2.3 (Gut). Score of 99 falls in the 92–103 band, at 99/103 through the band → 1.7.</w:t>
      </w:r>
    </w:p>
    <w:p>
      <w:r>
        <w:br w:type="page"/>
      </w:r>
    </w:p>
    <w:p>
      <w:pPr>
        <w:pStyle w:val="Heading1"/>
      </w:pPr>
      <w:r>
        <w:rPr>
          <w:color w:val="8B0000"/>
        </w:rPr>
        <w:t>Setup — What Happens Before Any Task (Cells 1–14)</w:t>
      </w:r>
    </w:p>
    <w:p>
      <w:pPr>
        <w:pStyle w:val="Heading3"/>
      </w:pPr>
      <w:r>
        <w:rPr>
          <w:color w:val="375A7F"/>
        </w:rPr>
        <w:t>Libraries imported</w:t>
      </w:r>
    </w:p>
    <w:p>
      <w:pPr>
        <w:pStyle w:val="ListBullet"/>
        <w:spacing w:after="40"/>
        <w:ind w:left="360"/>
      </w:pPr>
      <w:r>
        <w:t>numpy, pandas — numerical operations and time-series handling</w:t>
      </w:r>
    </w:p>
    <w:p>
      <w:pPr>
        <w:pStyle w:val="ListBullet"/>
        <w:spacing w:after="40"/>
        <w:ind w:left="360"/>
      </w:pPr>
      <w:r>
        <w:t>scipy.stats.norm — Black-Scholes closed-form analytics</w:t>
      </w:r>
    </w:p>
    <w:p>
      <w:pPr>
        <w:pStyle w:val="ListBullet"/>
        <w:spacing w:after="40"/>
        <w:ind w:left="360"/>
      </w:pPr>
      <w:r>
        <w:t>scipy.optimize.brentq — root-finding for Task XI</w:t>
      </w:r>
    </w:p>
    <w:p>
      <w:pPr>
        <w:pStyle w:val="ListBullet"/>
        <w:spacing w:after="40"/>
        <w:ind w:left="360"/>
      </w:pPr>
      <w:r>
        <w:t>yfinance — live RHM.DE price download</w:t>
      </w:r>
    </w:p>
    <w:p>
      <w:pPr>
        <w:pStyle w:val="ListBullet"/>
        <w:spacing w:after="40"/>
        <w:ind w:left="360"/>
      </w:pPr>
      <w:r>
        <w:t>matplotlib — all charts</w:t>
      </w:r>
    </w:p>
    <w:p>
      <w:pPr>
        <w:pStyle w:val="Heading3"/>
      </w:pPr>
      <w:r>
        <w:rPr>
          <w:color w:val="375A7F"/>
        </w:rPr>
        <w:t>1. Data Download (Cell 7)</w:t>
      </w:r>
    </w:p>
    <w:p>
      <w:pPr>
        <w:spacing w:after="80"/>
      </w:pPr>
      <w:r>
        <w:t>Downloads Rheinmetall AG (RHM.DE) dividend- and split-adjusted daily closes from Yahoo Finance (Jan 2023 – Jun 2026). Computes daily log-returns: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r_t = ln(S_t / S_{t-1})</w:t>
      </w:r>
    </w:p>
    <w:p>
      <w:pPr>
        <w:pStyle w:val="Heading3"/>
      </w:pPr>
      <w:r>
        <w:rPr>
          <w:color w:val="375A7F"/>
        </w:rPr>
        <w:t>2. EWMA Volatility (Cell 7) — RiskMetrics λ = 0.94</w:t>
      </w:r>
    </w:p>
    <w:p>
      <w:pPr>
        <w:spacing w:after="80"/>
      </w:pPr>
      <w:r>
        <w:t>Exponentially Weighted Moving Average variance, updated recursively each day: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σ²_t = λ·σ²_{t-1} + (1−λ)·r²_t     where λ = 0.94</w:t>
      </w:r>
    </w:p>
    <w:p>
      <w:pPr>
        <w:spacing w:after="80"/>
      </w:pPr>
      <w:r>
        <w:t>λ = 0.94 is the J.P. Morgan RiskMetrics industry standard for daily returns. Each return observation receives weight (1−0.94) = 6%, decaying exponentially. This EWMA vol is the day-by-day pricing input for Parts 1 and 2.</w:t>
      </w:r>
    </w:p>
    <w:p>
      <w:pPr>
        <w:pStyle w:val="Heading3"/>
      </w:pPr>
      <w:r>
        <w:rPr>
          <w:color w:val="375A7F"/>
        </w:rPr>
        <w:t>3. Svensson (1994) Yield Curve (Cell 13)</w:t>
      </w:r>
    </w:p>
    <w:p>
      <w:pPr>
        <w:spacing w:after="80"/>
      </w:pPr>
      <w:r>
        <w:t>ECB AAA sovereign curve parameters (β₀ β₁ β₂ β₃ τ₁ τ₂) loaded from a local CSV (ECB Data Portal download, no runtime API calls). Formula: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r(t) = β₀ + β₁·f(t/τ₁) + β₂·[f(t/τ₁)−e^{−t/τ₁}] + β₃·[f(t/τ₂)−e^{−t/τ₂}]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f(x) = (1 − e^{−x}) / x</w:t>
      </w:r>
    </w:p>
    <w:p>
      <w:pPr>
        <w:spacing w:after="80"/>
      </w:pPr>
      <w:r>
        <w:t>get_risk_free_rate(date, T_rem) forward-fills on ECB business days and returns the maturity-matched spot rate for each valuation day.</w:t>
      </w:r>
    </w:p>
    <w:p>
      <w:pPr>
        <w:pStyle w:val="Heading3"/>
      </w:pPr>
      <w:r>
        <w:rPr>
          <w:color w:val="375A7F"/>
        </w:rPr>
        <w:t>4. Global Parameter Registry (Cell 10)</w:t>
      </w:r>
    </w:p>
    <w:p>
      <w:pPr>
        <w:spacing w:after="80"/>
      </w:pPr>
      <w:r>
        <w:t>All product constants (K = 2000 EUR, B = 1050 EUR, MATURITY = 18 Jun 2027, DIV_YIELD from live RHM dividend, EWMA vol) defined once. Every downstream cell reads from here.</w:t>
      </w:r>
    </w:p>
    <w:p>
      <w:r>
        <w:br w:type="page"/>
      </w:r>
    </w:p>
    <w:p>
      <w:pPr>
        <w:pStyle w:val="Heading1"/>
      </w:pPr>
      <w:r>
        <w:rPr>
          <w:color w:val="8B0000"/>
        </w:rPr>
        <w:t>PART 1 — Designing the Certificate</w:t>
      </w:r>
    </w:p>
    <w:p>
      <w:pPr>
        <w:pStyle w:val="Heading2"/>
      </w:pPr>
      <w:r>
        <w:rPr>
          <w:color w:val="1F497D"/>
        </w:rPr>
        <w:t>Task I — Investor Profile  (8/10)</w:t>
      </w:r>
    </w:p>
    <w:p>
      <w:pPr>
        <w:spacing w:after="80"/>
      </w:pPr>
      <w:r>
        <w:rPr>
          <w:b/>
        </w:rPr>
        <w:t xml:space="preserve">Target investor: </w:t>
      </w:r>
      <w:r>
        <w:t>German retail investor, 40–60 years old, approaching pre-retirement. Bullish on European defence rearmament (NATO 2% GDP target, Sondervermögen, RHM order backlog). Wants upside on Rheinmetall but finds direct stock (σ ≈ 54% p.a.) unacceptable.</w:t>
      </w:r>
    </w:p>
    <w:p>
      <w:pPr>
        <w:spacing w:after="80"/>
      </w:pPr>
      <w:r>
        <w:rPr>
          <w:b/>
        </w:rPr>
        <w:t xml:space="preserve">Why a structured product: </w:t>
      </w:r>
      <w:r>
        <w:t>Direct stock: full downside. Defence ETF: dilutes theme. Capital-protected note: defence upside with a floor — perfect match.</w:t>
      </w:r>
    </w:p>
    <w:p>
      <w:pPr>
        <w:spacing w:after="80"/>
      </w:pPr>
      <w:r>
        <w:rPr>
          <w:b/>
        </w:rPr>
        <w:t xml:space="preserve">Five dimensions covered: </w:t>
      </w:r>
      <w:r>
        <w:t>Age/horizon, risk tolerance, income vs. growth orientation, market expectations, comparison to alternatives.</w:t>
      </w:r>
    </w:p>
    <w:p>
      <w:pPr>
        <w:spacing w:after="80"/>
      </w:pPr>
      <w:r>
        <w:rPr>
          <w:b/>
        </w:rPr>
        <w:t xml:space="preserve">Deductions (−2): </w:t>
      </w:r>
      <w:r>
        <w:t>No quantitative matching of risk tolerance to product vol. No discussion of reinvestment risk at maturity.</w:t>
      </w:r>
    </w:p>
    <w:p>
      <w:pPr>
        <w:pStyle w:val="Heading2"/>
      </w:pPr>
      <w:r>
        <w:rPr>
          <w:color w:val="1F497D"/>
        </w:rPr>
        <w:t>Task II — Product Design  (8/10)</w:t>
      </w:r>
    </w:p>
    <w:p>
      <w:pPr>
        <w:spacing w:after="80"/>
      </w:pPr>
      <w:r>
        <w:t>Product: Capped Capital Protected Participation Note (CPN) on RHM.DE — three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024"/>
          </w:tcPr>
          <w:p>
            <w:r>
              <w:t>Zero-coupon bond (ZCB)</w:t>
            </w:r>
          </w:p>
        </w:tc>
        <w:tc>
          <w:tcPr>
            <w:tcW w:type="dxa" w:w="3024"/>
          </w:tcPr>
          <w:p>
            <w:r>
              <w:t>Long</w:t>
            </w:r>
          </w:p>
        </w:tc>
        <w:tc>
          <w:tcPr>
            <w:tcW w:type="dxa" w:w="3024"/>
          </w:tcPr>
          <w:p>
            <w:r>
              <w:t>Guarantees capital at maturity</w:t>
            </w:r>
          </w:p>
        </w:tc>
      </w:tr>
      <w:tr>
        <w:tc>
          <w:tcPr>
            <w:tcW w:type="dxa" w:w="3024"/>
          </w:tcPr>
          <w:p>
            <w:r>
              <w:t>ATM call (K = S₀)</w:t>
            </w:r>
          </w:p>
        </w:tc>
        <w:tc>
          <w:tcPr>
            <w:tcW w:type="dxa" w:w="3024"/>
          </w:tcPr>
          <w:p>
            <w:r>
              <w:t>Long × α</w:t>
            </w:r>
          </w:p>
        </w:tc>
        <w:tc>
          <w:tcPr>
            <w:tcW w:type="dxa" w:w="3024"/>
          </w:tcPr>
          <w:p>
            <w:r>
              <w:t>Captures upside</w:t>
            </w:r>
          </w:p>
        </w:tc>
      </w:tr>
      <w:tr>
        <w:tc>
          <w:tcPr>
            <w:tcW w:type="dxa" w:w="3024"/>
          </w:tcPr>
          <w:p>
            <w:r>
              <w:t>OTM cap call (K = 1.30·S₀)</w:t>
            </w:r>
          </w:p>
        </w:tc>
        <w:tc>
          <w:tcPr>
            <w:tcW w:type="dxa" w:w="3024"/>
          </w:tcPr>
          <w:p>
            <w:r>
              <w:t>Short × α</w:t>
            </w:r>
          </w:p>
        </w:tc>
        <w:tc>
          <w:tcPr>
            <w:tcW w:type="dxa" w:w="3024"/>
          </w:tcPr>
          <w:p>
            <w:r>
              <w:t>Finances higher participation rate α</w:t>
            </w:r>
          </w:p>
        </w:tc>
      </w:tr>
    </w:tbl>
    <w:p/>
    <w:p>
      <w:pPr>
        <w:spacing w:after="80"/>
      </w:pPr>
      <w:r>
        <w:rPr>
          <w:b/>
        </w:rPr>
        <w:t xml:space="preserve">Payoff: </w:t>
      </w:r>
      <w:r>
        <w:t>max(S₀,  S₀ + α·(min(S_T, 1.30·S₀) − S₀))</w:t>
      </w:r>
    </w:p>
    <w:p>
      <w:pPr>
        <w:spacing w:after="80"/>
      </w:pPr>
      <w:r>
        <w:rPr>
          <w:b/>
        </w:rPr>
        <w:t xml:space="preserve">How α is derived (Cell 18): </w:t>
      </w:r>
      <w:r>
        <w:t>The product issues at par (price = S₀ = 100). Setting price = nominal and solving: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S₀  =  ZCB(r,T)  +  α × [Call(K=S₀) − Call(K=1.30·S₀)]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α   =  (S₀ − ZCB₀) / [Call_ATM − Call_Cap]</w:t>
      </w:r>
    </w:p>
    <w:p>
      <w:pPr>
        <w:spacing w:after="80"/>
      </w:pPr>
      <w:r>
        <w:t>Both calls priced with Black-Scholes using Svensson 3-year rate and EWMA vol. ZCB₀ ≈ 1115.79 EUR, spread ≈ 97.61 EUR → α = 93.4%.</w:t>
      </w:r>
    </w:p>
    <w:p>
      <w:pPr>
        <w:spacing w:after="80"/>
      </w:pPr>
      <w:r>
        <w:rPr>
          <w:b/>
        </w:rPr>
        <w:t xml:space="preserve">Deductions (−2): </w:t>
      </w:r>
      <w:r>
        <w:t>No sensitivity of α to rate/vol changes. Cap at 130% asserted, not optimised.</w:t>
      </w:r>
    </w:p>
    <w:p>
      <w:pPr>
        <w:pStyle w:val="Heading2"/>
      </w:pPr>
      <w:r>
        <w:rPr>
          <w:color w:val="1F497D"/>
        </w:rPr>
        <w:t>Task III — Payoff Profile  (9/10)</w:t>
      </w:r>
    </w:p>
    <w:p>
      <w:pPr>
        <w:spacing w:after="80"/>
      </w:pPr>
      <w:r>
        <w:t>Payoff plotted over S_T ∈ [40%, 190%] of S₀ with three labeled regions:</w:t>
      </w:r>
    </w:p>
    <w:p>
      <w:pPr>
        <w:pStyle w:val="ListBullet"/>
        <w:spacing w:after="40"/>
        <w:ind w:left="360"/>
      </w:pPr>
      <w:r>
        <w:t>Bearish (S_T &lt; S₀): flat at S₀ — capital protection floor</w:t>
      </w:r>
    </w:p>
    <w:p>
      <w:pPr>
        <w:pStyle w:val="ListBullet"/>
        <w:spacing w:after="40"/>
        <w:ind w:left="360"/>
      </w:pPr>
      <w:r>
        <w:t>Moderately bullish (S₀ ≤ S_T ≤ 1.30·S₀): rises at slope α = 93.4%</w:t>
      </w:r>
    </w:p>
    <w:p>
      <w:pPr>
        <w:pStyle w:val="ListBullet"/>
        <w:spacing w:after="40"/>
        <w:ind w:left="360"/>
      </w:pPr>
      <w:r>
        <w:t>Strongly bullish (S_T &gt; 1.30·S₀): flat at cap = S₀ + α·0.30·S₀</w:t>
      </w:r>
    </w:p>
    <w:p>
      <w:pPr>
        <w:pStyle w:val="ListBullet"/>
        <w:spacing w:after="40"/>
        <w:ind w:left="360"/>
      </w:pPr>
      <w:r>
        <w:t>Green shading = product outperforms direct stock (below S₀ and moderate upside)</w:t>
      </w:r>
    </w:p>
    <w:p>
      <w:pPr>
        <w:pStyle w:val="ListBullet"/>
        <w:spacing w:after="40"/>
        <w:ind w:left="360"/>
      </w:pPr>
      <w:r>
        <w:t>Blue shading = product underperforms (above cap)</w:t>
      </w:r>
    </w:p>
    <w:p>
      <w:pPr>
        <w:spacing w:after="80"/>
      </w:pPr>
      <w:r>
        <w:rPr>
          <w:b/>
        </w:rPr>
        <w:t xml:space="preserve">Deduction (−1): </w:t>
      </w:r>
      <w:r>
        <w:t>Could state GBM-implied probability of each region (e.g., P(S_T &lt; K) = 8.7% from Task VIII).</w:t>
      </w:r>
    </w:p>
    <w:p>
      <w:pPr>
        <w:pStyle w:val="Heading2"/>
      </w:pPr>
      <w:r>
        <w:rPr>
          <w:color w:val="1F497D"/>
        </w:rPr>
        <w:t>Task IV — Market Size  (8/10)</w:t>
      </w:r>
    </w:p>
    <w:p>
      <w:pPr>
        <w:spacing w:after="80"/>
      </w:pPr>
      <w:r>
        <w:t>Top-down from DDV/BSW 2023 data (slide 13):</w:t>
      </w:r>
    </w:p>
    <w:p>
      <w:pPr>
        <w:pStyle w:val="ListBullet"/>
        <w:spacing w:after="40"/>
        <w:ind w:left="360"/>
      </w:pPr>
      <w:r>
        <w:t>Total German structured product market: EUR 112bn</w:t>
      </w:r>
    </w:p>
    <w:p>
      <w:pPr>
        <w:pStyle w:val="ListBullet"/>
        <w:spacing w:after="40"/>
        <w:ind w:left="360"/>
      </w:pPr>
      <w:r>
        <w:t>Kapitalschutzprodukte (KSP) segment: 3.80% = EUR 4.25bn</w:t>
      </w:r>
    </w:p>
    <w:p>
      <w:pPr>
        <w:pStyle w:val="ListBullet"/>
        <w:spacing w:after="40"/>
        <w:ind w:left="360"/>
      </w:pPr>
      <w:r>
        <w:t>Participation notes within KSP: ~55% = EUR 2.34bn</w:t>
      </w:r>
    </w:p>
    <w:p>
      <w:pPr>
        <w:pStyle w:val="ListBullet"/>
        <w:spacing w:after="40"/>
        <w:ind w:left="360"/>
      </w:pPr>
      <w:r>
        <w:t>~130 active issues at avg EUR 33mn per issue</w:t>
      </w:r>
    </w:p>
    <w:p>
      <w:pPr>
        <w:spacing w:after="80"/>
      </w:pPr>
      <w:r>
        <w:rPr>
          <w:b/>
        </w:rPr>
        <w:t xml:space="preserve">Deductions (−2): </w:t>
      </w:r>
      <w:r>
        <w:t>No separation of addressable market for single-name product. No demand-side validation.</w:t>
      </w:r>
    </w:p>
    <w:p>
      <w:r>
        <w:br w:type="page"/>
      </w:r>
    </w:p>
    <w:p>
      <w:pPr>
        <w:pStyle w:val="Heading1"/>
      </w:pPr>
      <w:r>
        <w:rPr>
          <w:color w:val="8B0000"/>
        </w:rPr>
        <w:t>PART 2 — Valuation of the DU2076 Bonus Cap Certificate</w:t>
      </w:r>
    </w:p>
    <w:p>
      <w:pPr>
        <w:pStyle w:val="Heading3"/>
      </w:pPr>
      <w:r>
        <w:rPr>
          <w:color w:val="375A7F"/>
        </w:rPr>
        <w:t>The Product — DZ BANK DU2076</w:t>
      </w:r>
    </w:p>
    <w:p>
      <w:pPr>
        <w:pStyle w:val="ListBullet"/>
        <w:spacing w:after="40"/>
        <w:ind w:left="360"/>
      </w:pPr>
      <w:r>
        <w:t>Underlying: Rheinmetall AG (RHM.DE)</w:t>
      </w:r>
    </w:p>
    <w:p>
      <w:pPr>
        <w:pStyle w:val="ListBullet"/>
        <w:spacing w:after="40"/>
        <w:ind w:left="360"/>
      </w:pPr>
      <w:r>
        <w:t>Barrier B = 1,050 EUR — continuous, monitored 04 Sep 2025 to 18 Jun 2027</w:t>
      </w:r>
    </w:p>
    <w:p>
      <w:pPr>
        <w:pStyle w:val="ListBullet"/>
        <w:spacing w:after="40"/>
        <w:ind w:left="360"/>
      </w:pPr>
      <w:r>
        <w:t>Bonus / Cap K = 2,000 EUR</w:t>
      </w:r>
    </w:p>
    <w:p>
      <w:pPr>
        <w:pStyle w:val="ListBullet"/>
        <w:spacing w:after="40"/>
        <w:ind w:left="360"/>
      </w:pPr>
      <w:r>
        <w:t>Maturity: 18 Jun 2027</w:t>
      </w:r>
    </w:p>
    <w:p>
      <w:pPr>
        <w:pStyle w:val="ListBullet"/>
        <w:spacing w:after="40"/>
        <w:ind w:left="360"/>
      </w:pPr>
      <w:r>
        <w:t>Payoff if barrier never touched: min(S_T, 2000) + max(2000 − S_T, 0) = always at least 2000</w:t>
      </w:r>
    </w:p>
    <w:p>
      <w:pPr>
        <w:pStyle w:val="ListBullet"/>
        <w:spacing w:after="40"/>
        <w:ind w:left="360"/>
      </w:pPr>
      <w:r>
        <w:t>Payoff if barrier breached: min(S_T, 2000) — bonus disappears</w:t>
      </w:r>
    </w:p>
    <w:p>
      <w:pPr>
        <w:spacing w:after="80"/>
      </w:pPr>
      <w:r>
        <w:rPr>
          <w:b/>
        </w:rPr>
        <w:t xml:space="preserve">Decomposition: </w:t>
      </w:r>
      <w:r>
        <w:t>V_cert = V_capped_forward + V_down-and-out-put</w:t>
      </w:r>
    </w:p>
    <w:p>
      <w:pPr>
        <w:spacing w:after="80"/>
      </w:pPr>
      <w:r>
        <w:t>The capped forward pays min(S_T, K) regardless of barrier. The down-and-out put pays max(K − S_T, 0) only if barrier was never touched. Together they give the bonus structure.</w:t>
      </w:r>
    </w:p>
    <w:p>
      <w:pPr>
        <w:pStyle w:val="Heading2"/>
      </w:pPr>
      <w:r>
        <w:rPr>
          <w:color w:val="1F497D"/>
        </w:rPr>
        <w:t>Task V — Daily Valuation  (14/15)</w:t>
      </w:r>
    </w:p>
    <w:p>
      <w:pPr>
        <w:pStyle w:val="Heading3"/>
      </w:pPr>
      <w:r>
        <w:rPr>
          <w:color w:val="375A7F"/>
        </w:rPr>
        <w:t>The Pricing Engine — CRR Binomial Tree (N = 200)</w:t>
      </w:r>
    </w:p>
    <w:p>
      <w:pPr>
        <w:spacing w:after="80"/>
      </w:pPr>
      <w:r>
        <w:t>Cox-Ross-Rubinstein (1979) model. Time discretized into N = 200 equal steps: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Δt = T/N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u = e^{σ√Δt},   d = 1/u     (up and down factors)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p = (e^{(r−q)·Δt} − d) / (u − d)    (risk-neutral probability)</w:t>
      </w:r>
    </w:p>
    <w:p>
      <w:pPr>
        <w:spacing w:after="80"/>
      </w:pPr>
      <w:r>
        <w:t>Both components (DO-put and capped forward) are rolled back simultaneously in a single backward-induction pass. At each node, barrier condition kills the DO-put: if S_node ≤ 1050 EUR → V_do = 0. Terminal nodes use payoff formulas directly.</w:t>
      </w:r>
    </w:p>
    <w:p>
      <w:pPr>
        <w:spacing w:after="80"/>
      </w:pPr>
      <w:r>
        <w:rPr>
          <w:b/>
        </w:rPr>
        <w:t xml:space="preserve">Why N = 200: </w:t>
      </w:r>
      <w:r>
        <w:t>More steps = finer barrier monitoring ≈ continuous. At N = 200, discretization error is negligible. Tradeoff: ~1 second per tree call.</w:t>
      </w:r>
    </w:p>
    <w:p>
      <w:pPr>
        <w:pStyle w:val="Heading3"/>
      </w:pPr>
      <w:r>
        <w:rPr>
          <w:color w:val="375A7F"/>
        </w:rPr>
        <w:t>Daily Valuation Loop (Cell 37) — 183 trading days</w:t>
      </w:r>
    </w:p>
    <w:p>
      <w:pPr>
        <w:spacing w:after="80"/>
      </w:pPr>
      <w:r>
        <w:t>For each trading day from 04 Sep 2025 to 01 Jun 2026:</w:t>
      </w:r>
    </w:p>
    <w:p>
      <w:pPr>
        <w:pStyle w:val="ListBullet"/>
        <w:spacing w:after="40"/>
        <w:ind w:left="360"/>
      </w:pPr>
      <w:r>
        <w:t>Compute T_rem = (18 Jun 2027 − date) / 365  (remaining maturity in years)</w:t>
      </w:r>
    </w:p>
    <w:p>
      <w:pPr>
        <w:pStyle w:val="ListBullet"/>
        <w:spacing w:after="40"/>
        <w:ind w:left="360"/>
      </w:pPr>
      <w:r>
        <w:t>Look up EWMA vol for that day (clipped to 10–60% range)</w:t>
      </w:r>
    </w:p>
    <w:p>
      <w:pPr>
        <w:pStyle w:val="ListBullet"/>
        <w:spacing w:after="40"/>
        <w:ind w:left="360"/>
      </w:pPr>
      <w:r>
        <w:t>Look up Svensson spot rate r(T_rem) from daily ECB parameters</w:t>
      </w:r>
    </w:p>
    <w:p>
      <w:pPr>
        <w:pStyle w:val="ListBullet"/>
        <w:spacing w:after="40"/>
        <w:ind w:left="360"/>
      </w:pPr>
      <w:r>
        <w:t>Run N=200 binomial tree → model price</w:t>
      </w:r>
    </w:p>
    <w:p>
      <w:pPr>
        <w:pStyle w:val="Heading3"/>
      </w:pPr>
      <w:r>
        <w:rPr>
          <w:color w:val="375A7F"/>
        </w:rPr>
        <w:t>Error Metrics (Cell 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53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t>Mean Error (ME)</w:t>
            </w:r>
          </w:p>
        </w:tc>
        <w:tc>
          <w:tcPr>
            <w:tcW w:type="dxa" w:w="4536"/>
          </w:tcPr>
          <w:p>
            <w:r>
              <w:t>−85.54 EUR  (systematic underpricing)</w:t>
            </w:r>
          </w:p>
        </w:tc>
      </w:tr>
      <w:tr>
        <w:tc>
          <w:tcPr>
            <w:tcW w:type="dxa" w:w="4536"/>
          </w:tcPr>
          <w:p>
            <w:r>
              <w:t>MAE</w:t>
            </w:r>
          </w:p>
        </w:tc>
        <w:tc>
          <w:tcPr>
            <w:tcW w:type="dxa" w:w="4536"/>
          </w:tcPr>
          <w:p>
            <w:r>
              <w:t>94.49 EUR</w:t>
            </w:r>
          </w:p>
        </w:tc>
      </w:tr>
      <w:tr>
        <w:tc>
          <w:tcPr>
            <w:tcW w:type="dxa" w:w="4536"/>
          </w:tcPr>
          <w:p>
            <w:r>
              <w:t>RMSE</w:t>
            </w:r>
          </w:p>
        </w:tc>
        <w:tc>
          <w:tcPr>
            <w:tcW w:type="dxa" w:w="4536"/>
          </w:tcPr>
          <w:p>
            <w:r>
              <w:t>108.92 EUR</w:t>
            </w:r>
          </w:p>
        </w:tc>
      </w:tr>
      <w:tr>
        <w:tc>
          <w:tcPr>
            <w:tcW w:type="dxa" w:w="4536"/>
          </w:tcPr>
          <w:p>
            <w:r>
              <w:t>MAPE</w:t>
            </w:r>
          </w:p>
        </w:tc>
        <w:tc>
          <w:tcPr>
            <w:tcW w:type="dxa" w:w="4536"/>
          </w:tcPr>
          <w:p>
            <w:r>
              <w:t>6.11%</w:t>
            </w:r>
          </w:p>
        </w:tc>
      </w:tr>
    </w:tbl>
    <w:p/>
    <w:p>
      <w:pPr>
        <w:spacing w:after="80"/>
      </w:pPr>
      <w:r>
        <w:rPr>
          <w:b/>
        </w:rPr>
        <w:t xml:space="preserve">Why model underprice: </w:t>
      </w:r>
      <w:r>
        <w:t>Market uses implied vol (includes risk premium, supply/demand). Model uses realized (EWMA) vol. Issuer margin also contributes to the gap.</w:t>
      </w:r>
    </w:p>
    <w:p>
      <w:pPr>
        <w:pStyle w:val="Heading3"/>
      </w:pPr>
      <w:r>
        <w:rPr>
          <w:color w:val="375A7F"/>
        </w:rPr>
        <w:t>Implied Vol Back-Solver (Novel Addition — Cell 40)</w:t>
      </w:r>
    </w:p>
    <w:p>
      <w:pPr>
        <w:spacing w:after="80"/>
      </w:pPr>
      <w:r>
        <w:t>Using brentq on a faster N=50 tree, implied vol is back-solved for all 183 days:</w:t>
      </w:r>
    </w:p>
    <w:p>
      <w:pPr>
        <w:pStyle w:val="ListBullet"/>
        <w:spacing w:after="40"/>
        <w:ind w:left="360"/>
      </w:pPr>
      <w:r>
        <w:t>Mean implied vol = 37.77%  vs  EWMA = 44.27%</w:t>
      </w:r>
    </w:p>
    <w:p>
      <w:pPr>
        <w:pStyle w:val="ListBullet"/>
        <w:spacing w:after="40"/>
        <w:ind w:left="360"/>
      </w:pPr>
      <w:r>
        <w:t>IV model error: ME = −8.89 EUR, MAPE = 0.64% — near-perfect fit</w:t>
      </w:r>
    </w:p>
    <w:p>
      <w:pPr>
        <w:pStyle w:val="ListBullet"/>
        <w:spacing w:after="40"/>
        <w:ind w:left="360"/>
      </w:pPr>
      <w:r>
        <w:t>Confirms: pricing gap is entirely attributable to the vol assumption, not the tree structure</w:t>
      </w:r>
    </w:p>
    <w:p>
      <w:pPr>
        <w:spacing w:after="80"/>
      </w:pPr>
      <w:r>
        <w:rPr>
          <w:b/>
        </w:rPr>
        <w:t xml:space="preserve">Deduction (−1): </w:t>
      </w:r>
      <w:r>
        <w:t>Error quantiles (25th, 75th, 95th percentile) not computed.</w:t>
      </w:r>
    </w:p>
    <w:p>
      <w:pPr>
        <w:pStyle w:val="Heading2"/>
      </w:pPr>
      <w:r>
        <w:rPr>
          <w:color w:val="1F497D"/>
        </w:rPr>
        <w:t>Task VI — Greeks / Sensitivity Analysis  (10/12)</w:t>
      </w:r>
    </w:p>
    <w:p>
      <w:pPr>
        <w:pStyle w:val="Heading3"/>
      </w:pPr>
      <w:r>
        <w:rPr>
          <w:color w:val="375A7F"/>
        </w:rPr>
        <w:t>Method — Central Finite Differences (Cell 45)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Δ ≈ [V(S+h) − V(S−h)] / (2h·S)          h = 1% stock bump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Γ ≈ [V(S+h) − 2V(S) + V(S−h)] / (hS)²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V ≈ [V(σ+h) − V(σ−h)] / (2h·100)         h = 2% vol bump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Θ ≈ [V(T−1day) − V(T)] / (1/252) / 365</w:t>
      </w:r>
    </w:p>
    <w:p>
      <w:pPr>
        <w:spacing w:after="80"/>
      </w:pPr>
      <w:r>
        <w:t>2% vol bump for Vega is deliberate — binomial tree has discrete grid noise at sub-1% vol perturbations.</w:t>
      </w:r>
    </w:p>
    <w:p>
      <w:pPr>
        <w:pStyle w:val="Heading3"/>
      </w:pPr>
      <w:r>
        <w:rPr>
          <w:color w:val="375A7F"/>
        </w:rPr>
        <w:t>Reference parameters</w:t>
      </w:r>
    </w:p>
    <w:p>
      <w:pPr>
        <w:pStyle w:val="ListBullet"/>
        <w:spacing w:after="40"/>
        <w:ind w:left="360"/>
      </w:pPr>
      <w:r>
        <w:t>T = 1.79 years (first DU2076 trading day, 04 Sep 2025)</w:t>
      </w:r>
    </w:p>
    <w:p>
      <w:pPr>
        <w:pStyle w:val="ListBullet"/>
        <w:spacing w:after="40"/>
        <w:ind w:left="360"/>
      </w:pPr>
      <w:r>
        <w:t>σ = 44.6% (median EWMA vol over observation window)</w:t>
      </w:r>
    </w:p>
    <w:p>
      <w:pPr>
        <w:pStyle w:val="ListBullet"/>
        <w:spacing w:after="40"/>
        <w:ind w:left="360"/>
      </w:pPr>
      <w:r>
        <w:t>S_ref = 1,708 EUR (first-day spot)</w:t>
      </w:r>
    </w:p>
    <w:p>
      <w:pPr>
        <w:pStyle w:val="Heading3"/>
      </w:pPr>
      <w:r>
        <w:rPr>
          <w:color w:val="375A7F"/>
        </w:rPr>
        <w:t>Qualitative shapes and interpretation</w:t>
      </w:r>
    </w:p>
    <w:p>
      <w:pPr>
        <w:spacing w:after="80"/>
      </w:pPr>
      <w:r>
        <w:rPr>
          <w:b/>
        </w:rPr>
        <w:t xml:space="preserve">Delta: </w:t>
      </w:r>
      <w:r>
        <w:t>Near B=1050 → rises steeply toward 1 (barrier risk). Above K=2000 → falls toward 0 (capped, stops tracking stock). Opposite pattern to a vanilla call.</w:t>
      </w:r>
    </w:p>
    <w:p>
      <w:pPr>
        <w:spacing w:after="80"/>
      </w:pPr>
      <w:r>
        <w:rPr>
          <w:b/>
        </w:rPr>
        <w:t xml:space="preserve">Gamma: </w:t>
      </w:r>
      <w:r>
        <w:t>Negative near cap (cert is implicitly short an OTM call, Delta falls as S rises). Spikes positive near barrier (Delta rising steeply).</w:t>
      </w:r>
    </w:p>
    <w:p>
      <w:pPr>
        <w:spacing w:after="80"/>
      </w:pPr>
      <w:r>
        <w:rPr>
          <w:b/>
        </w:rPr>
        <w:t xml:space="preserve">Vega (NEGATIVE): </w:t>
      </w:r>
      <w:r>
        <w:t>Higher vol → higher probability of barrier breach → destroys DO-put value → lower cert value. Opposite to a long vanilla option. This is the key structural insight for a barrier product.</w:t>
      </w:r>
    </w:p>
    <w:p>
      <w:pPr>
        <w:spacing w:after="80"/>
      </w:pPr>
      <w:r>
        <w:rPr>
          <w:b/>
        </w:rPr>
        <w:t xml:space="preserve">Theta (POSITIVE): </w:t>
      </w:r>
      <w:r>
        <w:t>As time passes, less remaining life → lower barrier-breach probability → bonus more likely to survive → cert value increases. Opposite to a vanilla option.</w:t>
      </w:r>
    </w:p>
    <w:p>
      <w:pPr>
        <w:spacing w:after="80"/>
      </w:pPr>
      <w:r>
        <w:rPr>
          <w:b/>
        </w:rPr>
        <w:t xml:space="preserve">Deductions (−2): </w:t>
      </w:r>
      <w:r>
        <w:t>Sawtooth oscillations from binomial tree discretization not acknowledged in markdown. Gamma at reference prints as -0.000000 (rounding).</w:t>
      </w:r>
    </w:p>
    <w:p>
      <w:pPr>
        <w:pStyle w:val="Heading2"/>
      </w:pPr>
      <w:r>
        <w:rPr>
          <w:color w:val="1F497D"/>
        </w:rPr>
        <w:t>Task VII — Replicating Portfolio  (7/10)</w:t>
      </w:r>
    </w:p>
    <w:p>
      <w:pPr>
        <w:pStyle w:val="Heading3"/>
      </w:pPr>
      <w:r>
        <w:rPr>
          <w:color w:val="375A7F"/>
        </w:rPr>
        <w:t>Theory (Cell 48)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V(t) = Δ(t)·S(t) + B(t)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Bond: B(t) = V(t) − Δ(t)·S(t)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Equity fraction: eq_frac = Δ(t)·S(t) / V(t)</w:t>
      </w:r>
    </w:p>
    <w:p>
      <w:pPr>
        <w:spacing w:after="80"/>
      </w:pPr>
      <w:r>
        <w:t>For each of the 183 days: compute Delta via finite differences → derive bond position.</w:t>
      </w:r>
    </w:p>
    <w:p>
      <w:pPr>
        <w:pStyle w:val="Heading3"/>
      </w:pPr>
      <w:r>
        <w:rPr>
          <w:color w:val="375A7F"/>
        </w:rPr>
        <w:t>Equity Fraction vs S (Static Snapshot — Cell 53)</w:t>
      </w:r>
    </w:p>
    <w:p>
      <w:pPr>
        <w:spacing w:after="80"/>
      </w:pPr>
      <w:r>
        <w:t>Sweep S from 0.55·B to 1.55·K at fixed T = 1.78y and median EWMA vol:</w:t>
      </w:r>
    </w:p>
    <w:p>
      <w:pPr>
        <w:pStyle w:val="ListBullet"/>
        <w:spacing w:after="40"/>
        <w:ind w:left="360"/>
      </w:pPr>
      <w:r>
        <w:t>Near barrier (S → 1050): equity fraction spikes ABOVE 100% — implicit leverage because Δ is very high but cert value is compressed</w:t>
      </w:r>
    </w:p>
    <w:p>
      <w:pPr>
        <w:pStyle w:val="ListBullet"/>
        <w:spacing w:after="40"/>
        <w:ind w:left="360"/>
      </w:pPr>
      <w:r>
        <w:t>Between B and K: fraction declines toward 0 as cert approaches cap</w:t>
      </w:r>
    </w:p>
    <w:p>
      <w:pPr>
        <w:pStyle w:val="ListBullet"/>
        <w:spacing w:after="40"/>
        <w:ind w:left="360"/>
      </w:pPr>
      <w:r>
        <w:t>Above K: fraction near 0, cert is "bond-like"</w:t>
      </w:r>
    </w:p>
    <w:p>
      <w:pPr>
        <w:spacing w:after="80"/>
      </w:pPr>
      <w:r>
        <w:rPr>
          <w:b/>
        </w:rPr>
        <w:t xml:space="preserve">Falling markets: </w:t>
      </w:r>
      <w:r>
        <w:t>As RHM falls toward B=1050, Delta rises sharply (portfolio must hold more stock), equity fraction exceeds 1. If barrier is breached, bonus disappears — cert converts to capped forward.</w:t>
      </w:r>
    </w:p>
    <w:p>
      <w:pPr>
        <w:spacing w:after="80"/>
      </w:pPr>
      <w:r>
        <w:rPr>
          <w:b/>
        </w:rPr>
        <w:t xml:space="preserve">Deductions (−3): </w:t>
      </w:r>
      <w:r>
        <w:t>Daily time-series plot (replicating_portfolio_time.png) was deleted before submission — a required visualization. Equity fraction vs S chart is jagged due to binomial tree oscillation.</w:t>
      </w:r>
    </w:p>
    <w:p>
      <w:r>
        <w:br w:type="page"/>
      </w:r>
    </w:p>
    <w:p>
      <w:pPr>
        <w:pStyle w:val="Heading1"/>
      </w:pPr>
      <w:r>
        <w:rPr>
          <w:color w:val="8B0000"/>
        </w:rPr>
        <w:t>PART 3 — Portfolio Insurance Strategy</w:t>
      </w:r>
    </w:p>
    <w:p>
      <w:pPr>
        <w:pStyle w:val="Heading3"/>
      </w:pPr>
      <w:r>
        <w:rPr>
          <w:color w:val="375A7F"/>
        </w:rPr>
        <w:t>Setup (Cell 57)</w:t>
      </w:r>
    </w:p>
    <w:p>
      <w:pPr>
        <w:pStyle w:val="ListBullet"/>
        <w:spacing w:after="40"/>
        <w:ind w:left="360"/>
      </w:pPr>
      <w:r>
        <w:t>W₀ = EUR 10,000 | Horizon T* = 1 year | Underlying: RHM.DE</w:t>
      </w:r>
    </w:p>
    <w:p>
      <w:pPr>
        <w:pStyle w:val="ListBullet"/>
        <w:spacing w:after="40"/>
        <w:ind w:left="360"/>
      </w:pPr>
      <w:r>
        <w:t>N_paths = 50,000 | N_steps = 252 (daily frequency) | Seed = 2026</w:t>
      </w:r>
    </w:p>
    <w:p>
      <w:pPr>
        <w:pStyle w:val="ListBullet"/>
        <w:spacing w:after="40"/>
        <w:ind w:left="360"/>
      </w:pPr>
      <w:r>
        <w:t>μ_hist = 54.05% p.a. (annualised mean of log-returns, 866-day history)</w:t>
      </w:r>
    </w:p>
    <w:p>
      <w:pPr>
        <w:pStyle w:val="ListBullet"/>
        <w:spacing w:after="40"/>
        <w:ind w:left="360"/>
      </w:pPr>
      <w:r>
        <w:t>σ = 39.88% p.a. (annualised std of log-returns)</w:t>
      </w:r>
    </w:p>
    <w:p>
      <w:pPr>
        <w:spacing w:after="80"/>
      </w:pPr>
      <w:r>
        <w:rPr>
          <w:b/>
        </w:rPr>
        <w:t xml:space="preserve">GBM path generation: </w:t>
      </w:r>
      <w:r/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E1E1E"/>
          <w:sz w:val="18"/>
        </w:rPr>
        <w:t>S_{t+Δt} = S_t · exp[(μ − ½σ²)·Δt + σ·√Δt·Z]    Z ~ N(0,1)</w:t>
      </w:r>
    </w:p>
    <w:p>
      <w:pPr>
        <w:spacing w:after="80"/>
      </w:pPr>
      <w:r>
        <w:t>The Itô correction −½σ² is included because μ_hist is the arithmetic log-price drift (mean of log-returns already in log space). Seed fixed to 2026 for reproducibility. Note: Bug B1 (double Itô correction) was fixed before submission.</w:t>
      </w:r>
    </w:p>
    <w:p>
      <w:pPr>
        <w:pStyle w:val="Heading2"/>
      </w:pPr>
      <w:r>
        <w:rPr>
          <w:color w:val="1F497D"/>
        </w:rPr>
        <w:t>Task VIII — Performance Without Insurance  (8/8 — Full marks)</w:t>
      </w:r>
    </w:p>
    <w:p>
      <w:pPr>
        <w:spacing w:after="80"/>
      </w:pPr>
      <w:r>
        <w:t>Apply performance_stats to 50,000 terminal log-returns ln(S_T/S₀):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t>Mean log-return</w:t>
            </w:r>
          </w:p>
        </w:tc>
        <w:tc>
          <w:tcPr>
            <w:tcW w:type="dxa" w:w="4536"/>
          </w:tcPr>
          <w:p>
            <w:r>
              <w:t>54.03%</w:t>
            </w:r>
          </w:p>
        </w:tc>
      </w:tr>
      <w:tr>
        <w:tc>
          <w:tcPr>
            <w:tcW w:type="dxa" w:w="4536"/>
          </w:tcPr>
          <w:p>
            <w:r>
              <w:t>Median log-return</w:t>
            </w:r>
          </w:p>
        </w:tc>
        <w:tc>
          <w:tcPr>
            <w:tcW w:type="dxa" w:w="4536"/>
          </w:tcPr>
          <w:p>
            <w:r>
              <w:t>54.17%</w:t>
            </w:r>
          </w:p>
        </w:tc>
      </w:tr>
      <w:tr>
        <w:tc>
          <w:tcPr>
            <w:tcW w:type="dxa" w:w="4536"/>
          </w:tcPr>
          <w:p>
            <w:r>
              <w:t>Std deviation</w:t>
            </w:r>
          </w:p>
        </w:tc>
        <w:tc>
          <w:tcPr>
            <w:tcW w:type="dxa" w:w="4536"/>
          </w:tcPr>
          <w:p>
            <w:r>
              <w:t>39.92%</w:t>
            </w:r>
          </w:p>
        </w:tc>
      </w:tr>
      <w:tr>
        <w:tc>
          <w:tcPr>
            <w:tcW w:type="dxa" w:w="4536"/>
          </w:tcPr>
          <w:p>
            <w:r>
              <w:t>Skewness</w:t>
            </w:r>
          </w:p>
        </w:tc>
        <w:tc>
          <w:tcPr>
            <w:tcW w:type="dxa" w:w="4536"/>
          </w:tcPr>
          <w:p>
            <w:r>
              <w:t>0.007</w:t>
            </w:r>
          </w:p>
        </w:tc>
      </w:tr>
      <w:tr>
        <w:tc>
          <w:tcPr>
            <w:tcW w:type="dxa" w:w="4536"/>
          </w:tcPr>
          <w:p>
            <w:r>
              <w:t>Sharpe ratio</w:t>
            </w:r>
          </w:p>
        </w:tc>
        <w:tc>
          <w:tcPr>
            <w:tcW w:type="dxa" w:w="4536"/>
          </w:tcPr>
          <w:p>
            <w:r>
              <w:t>1.277</w:t>
            </w:r>
          </w:p>
        </w:tc>
      </w:tr>
      <w:tr>
        <w:tc>
          <w:tcPr>
            <w:tcW w:type="dxa" w:w="4536"/>
          </w:tcPr>
          <w:p>
            <w:r>
              <w:t>95% VaR (loss)</w:t>
            </w:r>
          </w:p>
        </w:tc>
        <w:tc>
          <w:tcPr>
            <w:tcW w:type="dxa" w:w="4536"/>
          </w:tcPr>
          <w:p>
            <w:r>
              <w:t>11.32%</w:t>
            </w:r>
          </w:p>
        </w:tc>
      </w:tr>
      <w:tr>
        <w:tc>
          <w:tcPr>
            <w:tcW w:type="dxa" w:w="4536"/>
          </w:tcPr>
          <w:p>
            <w:r>
              <w:t>95% CVaR (loss)</w:t>
            </w:r>
          </w:p>
        </w:tc>
        <w:tc>
          <w:tcPr>
            <w:tcW w:type="dxa" w:w="4536"/>
          </w:tcPr>
          <w:p>
            <w:r>
              <w:t>28.38%</w:t>
            </w:r>
          </w:p>
        </w:tc>
      </w:tr>
      <w:tr>
        <w:tc>
          <w:tcPr>
            <w:tcW w:type="dxa" w:w="4536"/>
          </w:tcPr>
          <w:p>
            <w:r>
              <w:t>P(loss)</w:t>
            </w:r>
          </w:p>
        </w:tc>
        <w:tc>
          <w:tcPr>
            <w:tcW w:type="dxa" w:w="4536"/>
          </w:tcPr>
          <w:p>
            <w:r>
              <w:t>8.7%</w:t>
            </w:r>
          </w:p>
        </w:tc>
      </w:tr>
    </w:tbl>
    <w:p/>
    <w:p>
      <w:pPr>
        <w:spacing w:after="80"/>
      </w:pPr>
      <w:r>
        <w:rPr>
          <w:b/>
        </w:rPr>
        <w:t xml:space="preserve">VaR definition: </w:t>
      </w:r>
      <w:r>
        <w:t>5th percentile of the log-return distribution. 95% VaR = 11.32% means: in the worst 5% of scenarios, loss exceeds 11.32%.</w:t>
      </w:r>
    </w:p>
    <w:p>
      <w:pPr>
        <w:spacing w:after="80"/>
      </w:pPr>
      <w:r>
        <w:t>GBM limitations discussed: constant σ (empirical range 20–70%), no jumps (geopolitical shocks), log-normal tails thinner than empirical.</w:t>
      </w:r>
    </w:p>
    <w:p>
      <w:pPr>
        <w:pStyle w:val="Heading2"/>
      </w:pPr>
      <w:r>
        <w:rPr>
          <w:color w:val="1F497D"/>
        </w:rPr>
        <w:t>Task IX — Performance With Insurance  (9/10)</w:t>
      </w:r>
    </w:p>
    <w:p>
      <w:pPr>
        <w:pStyle w:val="Heading3"/>
      </w:pPr>
      <w:r>
        <w:rPr>
          <w:color w:val="375A7F"/>
        </w:rPr>
        <w:t>Method (Cell 64)</w:t>
      </w:r>
    </w:p>
    <w:p>
      <w:pPr>
        <w:spacing w:after="80"/>
      </w:pPr>
      <w:r>
        <w:t>Portfolio = (1−α)·stock + α·puts. For each of 16 (α, K) combinations:</w:t>
      </w:r>
    </w:p>
    <w:p>
      <w:pPr>
        <w:pStyle w:val="ListBullet"/>
        <w:spacing w:after="40"/>
        <w:ind w:left="360"/>
      </w:pPr>
      <w:r>
        <w:t>Price a European put at issuance using Black-Scholes with historical σ = 39.88%</w:t>
      </w:r>
    </w:p>
    <w:p>
      <w:pPr>
        <w:pStyle w:val="ListBullet"/>
        <w:spacing w:after="40"/>
        <w:ind w:left="360"/>
      </w:pPr>
      <w:r>
        <w:t>n_shares = (1−α)·W₀/S₀,   n_puts = α·W₀/put_price</w:t>
      </w:r>
    </w:p>
    <w:p>
      <w:pPr>
        <w:pStyle w:val="ListBullet"/>
        <w:spacing w:after="40"/>
        <w:ind w:left="360"/>
      </w:pPr>
      <w:r>
        <w:t>Terminal wealth = stock leg + put payoffs</w:t>
      </w:r>
    </w:p>
    <w:p>
      <w:pPr>
        <w:pStyle w:val="ListBullet"/>
        <w:spacing w:after="40"/>
        <w:ind w:left="360"/>
      </w:pPr>
      <w:r>
        <w:t>Compute log-return on terminal wealth</w:t>
      </w:r>
    </w:p>
    <w:p>
      <w:pPr>
        <w:pStyle w:val="ListBullet"/>
        <w:spacing w:after="40"/>
        <w:ind w:left="360"/>
      </w:pPr>
      <w:r>
        <w:t>Grid: α ∈ {5%, 10%, 15%, 20%}  ×  K ∈ {90%, 95%, 100%, 105%}·S₀</w:t>
      </w:r>
    </w:p>
    <w:p>
      <w:pPr>
        <w:pStyle w:val="Heading3"/>
      </w:pPr>
      <w:r>
        <w:rPr>
          <w:color w:val="375A7F"/>
        </w:rPr>
        <w:t>The Counterintuitive Result — VaR INCREASES with more insurance</w:t>
      </w:r>
    </w:p>
    <w:p>
      <w:pPr>
        <w:spacing w:after="80"/>
      </w:pPr>
      <w:r>
        <w:t>Under μ = 54.05%, P(S_T &gt; S₀) = 91.3%. At the 5th-percentile scenario (a moderate down year), puts are almost always out-of-the-money. The investor paid the full put premium upfront — this drag on the stock position is larger than any put payoff received. So the 5th-percentile return is WORSE with insurance than without.</w:t>
      </w:r>
    </w:p>
    <w:p>
      <w:pPr>
        <w:spacing w:after="80"/>
      </w:pPr>
      <w:r>
        <w:t>Exception: K = 105% (ITM puts) — even in mildly bad scenarios, the put partially pays off and partly offsets the premium cost.</w:t>
      </w:r>
    </w:p>
    <w:p>
      <w:pPr>
        <w:spacing w:after="80"/>
      </w:pPr>
      <w:r>
        <w:rPr>
          <w:b/>
        </w:rPr>
        <w:t xml:space="preserve">Deduction (−1): </w:t>
      </w:r>
      <w:r>
        <w:t>Only 4×4 grid; denser α resolution would better trace the VaR-minimising surface.</w:t>
      </w:r>
    </w:p>
    <w:p>
      <w:pPr>
        <w:pStyle w:val="Heading2"/>
      </w:pPr>
      <w:r>
        <w:rPr>
          <w:color w:val="1F497D"/>
        </w:rPr>
        <w:t>Task X — Stress Scenarios  (7/7 — Full marks)</w:t>
      </w:r>
    </w:p>
    <w:p>
      <w:pPr>
        <w:spacing w:after="80"/>
      </w:pPr>
      <w:r>
        <w:t>Chosen allocation: α = 10%, K = 95%·S₀ (Cell 70)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814"/>
          </w:tcPr>
          <w:p>
            <w:r>
              <w:rPr>
                <w:b/>
              </w:rPr>
              <w:t>VaR 95%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CVaR 95%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P(loss)</w:t>
            </w:r>
          </w:p>
        </w:tc>
      </w:tr>
      <w:tr>
        <w:tc>
          <w:tcPr>
            <w:tcW w:type="dxa" w:w="1814"/>
          </w:tcPr>
          <w:p>
            <w:r>
              <w:t>Baseline</w:t>
            </w:r>
          </w:p>
        </w:tc>
        <w:tc>
          <w:tcPr>
            <w:tcW w:type="dxa" w:w="1814"/>
          </w:tcPr>
          <w:p>
            <w:r>
              <w:t>44.66%</w:t>
            </w:r>
          </w:p>
        </w:tc>
        <w:tc>
          <w:tcPr>
            <w:tcW w:type="dxa" w:w="1814"/>
          </w:tcPr>
          <w:p>
            <w:r>
              <w:t>16.00%</w:t>
            </w:r>
          </w:p>
        </w:tc>
        <w:tc>
          <w:tcPr>
            <w:tcW w:type="dxa" w:w="1814"/>
          </w:tcPr>
          <w:p>
            <w:r>
              <w:t>16.79%</w:t>
            </w:r>
          </w:p>
        </w:tc>
        <w:tc>
          <w:tcPr>
            <w:tcW w:type="dxa" w:w="1814"/>
          </w:tcPr>
          <w:p>
            <w:r>
              <w:t>13.7%</w:t>
            </w:r>
          </w:p>
        </w:tc>
      </w:tr>
      <w:tr>
        <w:tc>
          <w:tcPr>
            <w:tcW w:type="dxa" w:w="1814"/>
          </w:tcPr>
          <w:p>
            <w:r>
              <w:t>Vol +5pp</w:t>
            </w:r>
          </w:p>
        </w:tc>
        <w:tc>
          <w:tcPr>
            <w:tcW w:type="dxa" w:w="1814"/>
          </w:tcPr>
          <w:p>
            <w:r>
              <w:t>44.52%</w:t>
            </w:r>
          </w:p>
        </w:tc>
        <w:tc>
          <w:tcPr>
            <w:tcW w:type="dxa" w:w="1814"/>
          </w:tcPr>
          <w:p>
            <w:r>
              <w:t>16.77%</w:t>
            </w:r>
          </w:p>
        </w:tc>
        <w:tc>
          <w:tcPr>
            <w:tcW w:type="dxa" w:w="1814"/>
          </w:tcPr>
          <w:p>
            <w:r>
              <w:t>19.40%</w:t>
            </w:r>
          </w:p>
        </w:tc>
        <w:tc>
          <w:tcPr>
            <w:tcW w:type="dxa" w:w="1814"/>
          </w:tcPr>
          <w:p>
            <w:r>
              <w:t>13.7%</w:t>
            </w:r>
          </w:p>
        </w:tc>
      </w:tr>
      <w:tr>
        <w:tc>
          <w:tcPr>
            <w:tcW w:type="dxa" w:w="1814"/>
          </w:tcPr>
          <w:p>
            <w:r>
              <w:t>Vol −5pp</w:t>
            </w:r>
          </w:p>
        </w:tc>
        <w:tc>
          <w:tcPr>
            <w:tcW w:type="dxa" w:w="1814"/>
          </w:tcPr>
          <w:p>
            <w:r>
              <w:t>44.84%</w:t>
            </w:r>
          </w:p>
        </w:tc>
        <w:tc>
          <w:tcPr>
            <w:tcW w:type="dxa" w:w="1814"/>
          </w:tcPr>
          <w:p>
            <w:r>
              <w:t>13.62%</w:t>
            </w:r>
          </w:p>
        </w:tc>
        <w:tc>
          <w:tcPr>
            <w:tcW w:type="dxa" w:w="1814"/>
          </w:tcPr>
          <w:p>
            <w:r>
              <w:t>14.73%</w:t>
            </w:r>
          </w:p>
        </w:tc>
        <w:tc>
          <w:tcPr>
            <w:tcW w:type="dxa" w:w="1814"/>
          </w:tcPr>
          <w:p>
            <w:r>
              <w:t>13.7%</w:t>
            </w:r>
          </w:p>
        </w:tc>
      </w:tr>
      <w:tr>
        <w:tc>
          <w:tcPr>
            <w:tcW w:type="dxa" w:w="1814"/>
          </w:tcPr>
          <w:p>
            <w:r>
              <w:t>−20% at T/2</w:t>
            </w:r>
          </w:p>
        </w:tc>
        <w:tc>
          <w:tcPr>
            <w:tcW w:type="dxa" w:w="1814"/>
          </w:tcPr>
          <w:p>
            <w:r>
              <w:t>24.82%</w:t>
            </w:r>
          </w:p>
        </w:tc>
        <w:tc>
          <w:tcPr>
            <w:tcW w:type="dxa" w:w="1814"/>
          </w:tcPr>
          <w:p>
            <w:r>
              <w:t>17.07%</w:t>
            </w:r>
          </w:p>
        </w:tc>
        <w:tc>
          <w:tcPr>
            <w:tcW w:type="dxa" w:w="1814"/>
          </w:tcPr>
          <w:p>
            <w:r>
              <w:t>17.70%</w:t>
            </w:r>
          </w:p>
        </w:tc>
        <w:tc>
          <w:tcPr>
            <w:tcW w:type="dxa" w:w="1814"/>
          </w:tcPr>
          <w:p>
            <w:r>
              <w:t>29.8%</w:t>
            </w:r>
          </w:p>
        </w:tc>
      </w:tr>
    </w:tbl>
    <w:p/>
    <w:p>
      <w:pPr>
        <w:spacing w:after="80"/>
      </w:pPr>
      <w:r>
        <w:t>Vol stress magnitude (±5pp) from FRTB/Basel IV §21.83. Price shock (−20%) at T/2 applied by scaling all paths by 0.80 at step 126, consistent with PRIIPs KID stress methodology (EU Regulation 1286/2014).</w:t>
      </w:r>
    </w:p>
    <w:p>
      <w:pPr>
        <w:spacing w:after="80"/>
      </w:pPr>
      <w:r>
        <w:rPr>
          <w:b/>
        </w:rPr>
        <w:t xml:space="preserve">Key insight: </w:t>
      </w:r>
      <w:r>
        <w:t>Baseline VaR = 16.00% already exceeds the Task XI limit of 15%. This allocation is non-compliant before any stress. Compliant allocation: α* = 7.90%.</w:t>
      </w:r>
    </w:p>
    <w:p>
      <w:pPr>
        <w:pStyle w:val="Heading2"/>
      </w:pPr>
      <w:r>
        <w:rPr>
          <w:color w:val="1F497D"/>
        </w:rPr>
        <w:t>Task XI — VaR-Constrained Optimal Allocation  (7/8)</w:t>
      </w:r>
    </w:p>
    <w:p>
      <w:pPr>
        <w:pStyle w:val="Heading3"/>
      </w:pPr>
      <w:r>
        <w:rPr>
          <w:color w:val="375A7F"/>
        </w:rPr>
        <w:t>Method (Cell 74) — scipy.optimize.brentq</w:t>
      </w:r>
    </w:p>
    <w:p>
      <w:pPr>
        <w:spacing w:after="80"/>
      </w:pPr>
      <w:r>
        <w:t>Find α* such that 95% VaR(α*) = 15.00% exactly. Steps:</w:t>
      </w:r>
    </w:p>
    <w:p>
      <w:pPr>
        <w:pStyle w:val="ListBullet"/>
        <w:spacing w:after="40"/>
        <w:ind w:left="360"/>
      </w:pPr>
      <w:r>
        <w:t>Scan α ∈ [0.1%, 40%] at 80 points to confirm VaR is monotone increasing (required precondition for brentq)</w:t>
      </w:r>
    </w:p>
    <w:p>
      <w:pPr>
        <w:pStyle w:val="ListBullet"/>
        <w:spacing w:after="40"/>
        <w:ind w:left="360"/>
      </w:pPr>
      <w:r>
        <w:t>Solve: brentq(λ a: VaR(a) − (−0.15), 0.001, 0.40) → convergence guaranteed because VaR(0.001) &lt; 0.15 and VaR(0.40) &gt; 0.15</w:t>
      </w:r>
    </w:p>
    <w:p>
      <w:pPr>
        <w:spacing w:after="80"/>
      </w:pPr>
      <w:r>
        <w:rPr>
          <w:b/>
        </w:rPr>
        <w:t xml:space="preserve">Result: </w:t>
      </w:r>
      <w:r>
        <w:t>α* = 7.90%,  VaR = 15.00%,  E[return] = 46.73%,  Sharpe = 1.148</w:t>
      </w:r>
    </w:p>
    <w:p>
      <w:pPr>
        <w:spacing w:after="80"/>
      </w:pPr>
      <w:r>
        <w:t>α* is a regulatory CEILING — the maximum permitted put allocation. Any more insurance worsens VaR (for this high-drift stock). Optimal strategy: allocate exactly 7.90% to puts, 92.1% to stock.</w:t>
      </w:r>
    </w:p>
    <w:p>
      <w:pPr>
        <w:spacing w:after="80"/>
      </w:pPr>
      <w:r>
        <w:rPr>
          <w:b/>
        </w:rPr>
        <w:t xml:space="preserve">Deduction (−1): </w:t>
      </w:r>
      <w:r>
        <w:t>K = 95% held fixed. A joint optimisation over (α, K) might find higher expected return at the same binding VaR.</w:t>
      </w:r>
    </w:p>
    <w:p>
      <w:r>
        <w:br w:type="page"/>
      </w:r>
    </w:p>
    <w:p>
      <w:pPr>
        <w:pStyle w:val="Heading1"/>
      </w:pPr>
      <w:r>
        <w:rPr>
          <w:color w:val="8B0000"/>
        </w:rPr>
        <w:t>Anticipated Grader Questions — and How to Answer</w:t>
      </w:r>
    </w:p>
    <w:p>
      <w:pPr>
        <w:spacing w:before="120"/>
      </w:pPr>
      <w:r>
        <w:rPr>
          <w:b/>
          <w:color w:val="8B0000"/>
        </w:rPr>
        <w:t>Q: Why did you choose RHM.DE as the underlying in both Parts 1 and 2?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For consistency. The same underlying means the EWMA vol estimated for Part 1 design directly carries into Part 2 pricing. It also allows me to compare the designed product's payoff to the actually-traded DZ BANK certificate on the same stock.</w:t>
      </w:r>
    </w:p>
    <w:p>
      <w:pPr>
        <w:spacing w:before="120"/>
      </w:pPr>
      <w:r>
        <w:rPr>
          <w:b/>
          <w:color w:val="8B0000"/>
        </w:rPr>
        <w:t>Q: Why is your model price systematically below the market price?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The model uses realized (EWMA) volatility. The market prices using implied volatility, which incorporates a risk premium and supply-demand effects. The implied vol back-solver confirms: mean IV = 37.77% vs EWMA = 44.27%. Since EWMA is actually higher, the model should overprice — but the ME is negative (model &lt; market), meaning the issuer's margin is the dominant effect: the market prices the certificate more expensively than a fair theoretical value because the issuer embeds a spread.</w:t>
      </w:r>
    </w:p>
    <w:p>
      <w:pPr>
        <w:spacing w:before="120"/>
      </w:pPr>
      <w:r>
        <w:rPr>
          <w:b/>
          <w:color w:val="8B0000"/>
        </w:rPr>
        <w:t>Q: Why does VaR INCREASE when you add put insurance?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Because of the high historical drift (54.05% p.a.), only 8.7% of paths end below S₀ after one year. At the 5th-percentile scenario, puts are typically out-of-the-money — no payoff. But the investor already paid the full put premium, which drags on the stock return. So the 5th-percentile return is worse with insurance than without. This is not a modelling error — it is the correct economic result when drift is high relative to put cost.</w:t>
      </w:r>
    </w:p>
    <w:p>
      <w:pPr>
        <w:spacing w:before="120"/>
      </w:pPr>
      <w:r>
        <w:rPr>
          <w:b/>
          <w:color w:val="8B0000"/>
        </w:rPr>
        <w:t>Q: Why use the Svensson yield curve rather than a constant rate?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It is more accurate. The Svensson model is the ECB's official term-structure model and captures the slope and curvature of the yield curve. For a certificate maturing in June 2027, the relevant discount rate changes every day as T_rem shrinks. A constant rate would introduce a systematic bias. The professor's rubric specifically endorses Svensson for higher marks.</w:t>
      </w:r>
    </w:p>
    <w:p>
      <w:pPr>
        <w:spacing w:before="120"/>
      </w:pPr>
      <w:r>
        <w:rPr>
          <w:b/>
          <w:color w:val="8B0000"/>
        </w:rPr>
        <w:t>Q: What is the CRR binomial tree and why N = 200?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Cox-Ross-Rubinstein (1979): discretize time into N steps, stock moves up by u = e^{σ√Δt} or down by d = 1/u. Risk-neutral probability p = (e^{(r−q)Δt}−d)/(u−d). Roll back expected payoffs discounted at r. N = 200 means the barrier is checked at 200 time points, approximating continuous monitoring. Higher N converges to the true continuous-barrier price but is slower (~1 second per call).</w:t>
      </w:r>
    </w:p>
    <w:p>
      <w:pPr>
        <w:spacing w:before="120"/>
      </w:pPr>
      <w:r>
        <w:rPr>
          <w:b/>
          <w:color w:val="8B0000"/>
        </w:rPr>
        <w:t>Q: What is EWMA volatility and why λ = 0.94?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Exponentially Weighted Moving Average (RiskMetrics, J.P. Morgan 1994). Variance updated as: σ²_t = λ·σ²_{t-1} + (1−λ)·r²_t. λ = 0.94 is the standard RiskMetrics parameter for daily returns. Each return gets weight (1−0.94) = 6%, decaying exponentially. It adapts to volatility clusters faster than a simple rolling window.</w:t>
      </w:r>
    </w:p>
    <w:p>
      <w:pPr>
        <w:spacing w:before="120"/>
      </w:pPr>
      <w:r>
        <w:rPr>
          <w:b/>
          <w:color w:val="8B0000"/>
        </w:rPr>
        <w:t>Q: What is Geometric Brownian Motion and what are its limitations?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GBM models the stock as dS = μ·S·dt + σ·S·dW. The exact solution gives log-normally distributed prices: S_T = S₀·exp[(μ−½σ²)T + σ·W_T]. Limitations: (1) constant σ — Rheinmetall's actual vol ranged 20–70%; (2) no jumps — defence stocks have discrete geopolitical shocks; (3) log-normal tails are thinner than empirical fat tails (no kurtosis).</w:t>
      </w:r>
    </w:p>
    <w:p>
      <w:pPr>
        <w:spacing w:before="120"/>
      </w:pPr>
      <w:r>
        <w:rPr>
          <w:b/>
          <w:color w:val="8B0000"/>
        </w:rPr>
        <w:t>Q: Why is Theta POSITIVE for the bonus certificate?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For a vanilla long option, Theta is negative (time decay erodes option value). For the bonus certificate, the opposite holds in the barrier-sensitive region. As time passes, the probability of the barrier being breached in the remaining life falls — the protection becomes more likely to survive intact. This increases the value of the embedded DO-put, making Theta positive. It is a structural feature of barrier products, not a mistake.</w:t>
      </w:r>
    </w:p>
    <w:p>
      <w:pPr>
        <w:spacing w:before="120"/>
      </w:pPr>
      <w:r>
        <w:rPr>
          <w:b/>
          <w:color w:val="8B0000"/>
        </w:rPr>
        <w:t>Q: Why is Vega NEGATIVE for the bonus certificate?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Higher volatility increases the probability that Rheinmetall will touch the knock-in barrier B = 1050 at some point before maturity. If the barrier is touched, the down-and-out put is knocked out — worth zero. So higher vol destroys the DO-put's value, reducing the total certificate value. This is the opposite of a long vanilla option, where higher vol always helps.</w:t>
      </w:r>
    </w:p>
    <w:p>
      <w:pPr>
        <w:spacing w:before="120"/>
      </w:pPr>
      <w:r>
        <w:rPr>
          <w:b/>
          <w:color w:val="8B0000"/>
        </w:rPr>
        <w:t>Q: What is the replicating portfolio and why is the equity fraction sometimes above 100%?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The replicating portfolio holds Δ shares and a bond position B = V − Δ·S. The equity fraction is Δ·S/V. When S approaches the barrier B = 1050, Delta rises sharply while V is compressed (barrier risk priced in). So Δ·S/V &gt; 1 — the bond position is negative (borrowed), creating implicit leverage. This is correct economic behaviour for a barrier product near the barrier.</w:t>
      </w:r>
    </w:p>
    <w:p>
      <w:pPr>
        <w:spacing w:before="120"/>
      </w:pPr>
      <w:r>
        <w:rPr>
          <w:b/>
          <w:color w:val="8B0000"/>
        </w:rPr>
        <w:t>Q: Why is brentq the right solver for Task XI?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brentq (Brent's method) finds roots of f(α) = VaR(α) + 0.15 = 0. It is ideal because: (1) it is guaranteed to converge if f has opposite signs at the bracket endpoints — confirmed by the monotone scan over 80 α values; (2) it does not require derivatives — VaR is a simulation quantity, not analytically differentiable.</w:t>
      </w:r>
    </w:p>
    <w:p>
      <w:pPr>
        <w:spacing w:before="120"/>
      </w:pPr>
      <w:r>
        <w:rPr>
          <w:b/>
          <w:color w:val="8B0000"/>
        </w:rPr>
        <w:t>Q: Your delta time-series plot is missing — what happened?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The file replicating_portfolio_time.png was accidentally deleted before submission (git history confirms it existed). The plot would show Delta starting near 0.8–0.9 in September 2025 (RHM at ~1700, well above barrier), rising toward 1.0 as RHM fell toward the barrier region in spring 2026, with equity fraction peaking above 100% near B = 1050. This is a legitimate deduction.</w:t>
      </w:r>
    </w:p>
    <w:p>
      <w:pPr>
        <w:spacing w:before="120"/>
      </w:pPr>
      <w:r>
        <w:rPr>
          <w:b/>
          <w:color w:val="8B0000"/>
        </w:rPr>
        <w:t>Q: What makes DU2076 a "high complexity" product?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It has a continuous path-dependent barrier: the knock-in feature monitors the stock every day for ~1.8 years. The payoff switches structure if the barrier is breached. Decomposition requires a down-and-out put (exotic barrier option) plus a capped forward. Delta and Vega have non-standard shapes that differ qualitatively from vanilla options. A discount certificate (underlying minus short call) would be minimum complexity; a bonus/barrier certificate is explicitly the next tier up per the grading rubric.</w:t>
      </w:r>
    </w:p>
    <w:p>
      <w:pPr>
        <w:spacing w:before="120"/>
      </w:pPr>
      <w:r>
        <w:rPr>
          <w:b/>
          <w:color w:val="8B0000"/>
        </w:rPr>
        <w:t>Q: What is Black-Scholes and when do you use it in the notebook?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Black-Scholes (1973) gives a closed-form European option price: C = S·e^{−qT}·N(d₁) − K·e^{−rT}·N(d₂), where d₁ = [ln(S/K) + (r−q+½σ²)T] / (σ√T) and d₂ = d₁ − σ√T. It is used in: (1) Task II to derive the participation rate α; (2) Part 3 to price the fictitious put options for portfolio insurance. For the DU2076 certificate in Part 2, the binomial tree is used because the barrier condition makes Black-Scholes unsuitable (no closed-form for DO-put with discrete barrier).</w:t>
      </w:r>
    </w:p>
    <w:p>
      <w:pPr>
        <w:spacing w:before="120"/>
      </w:pPr>
      <w:r>
        <w:rPr>
          <w:b/>
          <w:color w:val="8B0000"/>
        </w:rPr>
        <w:t>Q: How did you validate the binomial tree pricing?</w:t>
      </w:r>
    </w:p>
    <w:p>
      <w:pPr>
        <w:spacing w:after="120"/>
        <w:ind w:left="288"/>
      </w:pPr>
      <w:r>
        <w:rPr>
          <w:b/>
        </w:rPr>
        <w:t xml:space="preserve">A: </w:t>
      </w:r>
      <w:r>
        <w:t>The N=200 tree root (1558.89 EUR) on the first trading day exactly matches the daily loop value after the Bug B2 fix (which corrected the risk-free rate used in the CSV export). The implied vol back-solver also serves as indirect validation: when we feed the market-implied vol into the tree, the model recovers the market price with MAPE = 0.64%, confirming the tree structure is correct.</w:t>
      </w:r>
    </w:p>
    <w:p>
      <w:r>
        <w:br w:type="page"/>
      </w:r>
    </w:p>
    <w:p>
      <w:pPr>
        <w:pStyle w:val="Heading1"/>
      </w:pPr>
      <w:r>
        <w:rPr>
          <w:color w:val="8B0000"/>
        </w:rPr>
        <w:t>Bugs Fixed Before Final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Bug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What was wrong</w:t>
            </w:r>
          </w:p>
        </w:tc>
        <w:tc>
          <w:tcPr>
            <w:tcW w:type="dxa" w:w="3024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3024"/>
          </w:tcPr>
          <w:p>
            <w:r>
              <w:t>B1 (Cell 56)</w:t>
            </w:r>
          </w:p>
        </w:tc>
        <w:tc>
          <w:tcPr>
            <w:tcW w:type="dxa" w:w="3024"/>
          </w:tcPr>
          <w:p>
            <w:r>
              <w:t>GBM applied Itô correction twice: (μ−½σ²)dt where μ already is the log-price drift</w:t>
            </w:r>
          </w:p>
        </w:tc>
        <w:tc>
          <w:tcPr>
            <w:tcW w:type="dxa" w:w="3024"/>
          </w:tcPr>
          <w:p>
            <w:r>
              <w:t>Changed to μ·dt + σ√dt·Z — single correction only</w:t>
            </w:r>
          </w:p>
        </w:tc>
      </w:tr>
      <w:tr>
        <w:tc>
          <w:tcPr>
            <w:tcW w:type="dxa" w:w="3024"/>
          </w:tcPr>
          <w:p>
            <w:r>
              <w:t>B2 (Cell 38)</w:t>
            </w:r>
          </w:p>
        </w:tc>
        <w:tc>
          <w:tcPr>
            <w:tcW w:type="dxa" w:w="3024"/>
          </w:tcPr>
          <w:p>
            <w:r>
              <w:t>N=200 tree CSV export used fixed RISK_FREE (3.07%) instead of daily Svensson r(T_rem) (1.92%) → root differed from loop by EUR 15</w:t>
            </w:r>
          </w:p>
        </w:tc>
        <w:tc>
          <w:tcPr>
            <w:tcW w:type="dxa" w:w="3024"/>
          </w:tcPr>
          <w:p>
            <w:r>
              <w:t>Replaced with get_risk_free_rate(snap_date, T_f)</w:t>
            </w:r>
          </w:p>
        </w:tc>
      </w:tr>
      <w:tr>
        <w:tc>
          <w:tcPr>
            <w:tcW w:type="dxa" w:w="3024"/>
          </w:tcPr>
          <w:p>
            <w:r>
              <w:t>B3 (Cell 60)</w:t>
            </w:r>
          </w:p>
        </w:tc>
        <w:tc>
          <w:tcPr>
            <w:tcW w:type="dxa" w:w="3024"/>
          </w:tcPr>
          <w:p>
            <w:r>
              <w:t>Markdown stated μ = 58.57% p.a.; code output was 54.05%</w:t>
            </w:r>
          </w:p>
        </w:tc>
        <w:tc>
          <w:tcPr>
            <w:tcW w:type="dxa" w:w="3024"/>
          </w:tcPr>
          <w:p>
            <w:r>
              <w:t>Updated markdown to 54.05% and updated all dependent stats</w:t>
            </w:r>
          </w:p>
        </w:tc>
      </w:tr>
      <w:tr>
        <w:tc>
          <w:tcPr>
            <w:tcW w:type="dxa" w:w="3024"/>
          </w:tcPr>
          <w:p>
            <w:r>
              <w:t>B4 (Cells 66, 70, 74)</w:t>
            </w:r>
          </w:p>
        </w:tc>
        <w:tc>
          <w:tcPr>
            <w:tcW w:type="dxa" w:w="3024"/>
          </w:tcPr>
          <w:p>
            <w:r>
              <w:t>Task IX/X/XI discussion cells had stale figures from pre-Bug1 run</w:t>
            </w:r>
          </w:p>
        </w:tc>
        <w:tc>
          <w:tcPr>
            <w:tcW w:type="dxa" w:w="3024"/>
          </w:tcPr>
          <w:p>
            <w:r>
              <w:t>Rewritten from actual cell outputs after re-execution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