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1A1A"/>
          <w:sz w:val="40"/>
        </w:rPr>
        <w:t>B401 Continuous-Time Derivatives Pricing</w:t>
        <w:br/>
        <w:t>Take-Home Assignment — Complete Study Guide</w:t>
      </w:r>
    </w:p>
    <w:p>
      <w:pPr>
        <w:jc w:val="center"/>
      </w:pPr>
      <w:r>
        <w:rPr>
          <w:color w:val="555555"/>
          <w:sz w:val="21"/>
        </w:rPr>
        <w:t>Task-by-task explanation of what was done, the theory behind it, every formula, all data sources and the full methodology</w:t>
        <w:br/>
        <w:t>Notebook: B401_Assignment_2026.ipynb  |  Summer Term 2026  |  Eberhard Karls Universität Tübingen (Prof. Dr. Christian Koziol / Benjamin Harsch)</w:t>
      </w:r>
    </w:p>
    <w:p>
      <w:r>
        <w:rPr>
          <w:b/>
          <w:i w:val="0"/>
        </w:rPr>
        <w:t>How to use this guide.</w:t>
      </w:r>
      <w:r>
        <w:rPr>
          <w:b w:val="0"/>
          <w:i w:val="0"/>
        </w:rPr>
        <w:t xml:space="preserve"> Each task section answers four questions: (1) What does the assignment ask for? (2) What theory applies (with the lecture-slide reference where the session notes cite one)? (3) What exactly does the notebook do, step by step? (4) What came out and how do we interpret it? A formula bank, a source register and a list of likely oral-defence questions close the document. All quoted numbers are the actual executed outputs of the notebook.</w:t>
      </w:r>
    </w:p>
    <w:p>
      <w:pPr>
        <w:pStyle w:val="Heading1"/>
      </w:pPr>
      <w:r>
        <w:t>1. The Assignment at a Glance</w:t>
      </w:r>
    </w:p>
    <w:p>
      <w:r>
        <w:rPr>
          <w:b w:val="0"/>
          <w:i w:val="0"/>
        </w:rPr>
        <w:t xml:space="preserve">The take-home assignment has </w:t>
      </w:r>
      <w:r>
        <w:rPr>
          <w:b/>
          <w:i w:val="0"/>
        </w:rPr>
        <w:t>three parts and eleven tasks</w:t>
      </w:r>
      <w:r>
        <w:rPr>
          <w:b w:val="0"/>
          <w:i w:val="0"/>
        </w:rPr>
        <w:t xml:space="preserve"> (Roman numerals I–XI). The tutor Q&amp;A (Session 2 recap slide) set the complexity bar: the product must be a genuine </w:t>
      </w:r>
      <w:r>
        <w:rPr>
          <w:b/>
          <w:i w:val="0"/>
        </w:rPr>
        <w:t>structured</w:t>
      </w:r>
      <w:r>
        <w:rPr>
          <w:b w:val="0"/>
          <w:i w:val="0"/>
        </w:rPr>
        <w:t xml:space="preserve"> product, at least at the level of a discount certificate — standalone calls/puts are not sufficient. Grading is driven mainly by (i) product complexity and (ii) poster quality, then technical implementation, correct valuation methodology, sensible parameters and economic reasoning.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08"/>
          </w:tcPr>
          <w:p>
            <w:r/>
            <w:r>
              <w:rPr>
                <w:b/>
                <w:sz w:val="19"/>
              </w:rPr>
              <w:t>Part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Theme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Tasks</w:t>
            </w:r>
          </w:p>
        </w:tc>
        <w:tc>
          <w:tcPr>
            <w:tcW w:type="dxa" w:w="4608"/>
          </w:tcPr>
          <w:p>
            <w:r/>
            <w:r>
              <w:rPr>
                <w:b/>
                <w:sz w:val="19"/>
              </w:rPr>
              <w:t>What the notebook does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Part 1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Designing a certificate (fictitious product, no valuation required)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I–IV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Capped Capital Protected Participation Note (CPN) on Rheinmetall AG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Part 2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Valuation of a traded certificate vs. market prices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V–VII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DZ BANK Bonus Cap Certificate DU2076 on Rheinmetall, priced on a CRR binomial tree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Part 3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Portfolio insurance via Monte Carlo simulation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VIII–XI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EUR 10,000 in RHM over 1 year; put-option overlay; stress tests; 15% VaR constraint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One underlying everywhere:</w:t>
      </w:r>
      <w:r>
        <w:rPr>
          <w:b w:val="0"/>
          <w:i w:val="0"/>
        </w:rPr>
        <w:t xml:space="preserve"> Rheinmetall AG (RHM.DE, XETRA). Part 1 designs a new product on it, Part 2 values a really traded certificate on it, Part 3 simulates a portfolio invested in it. This continuity means one data pipeline and directly comparable results across all three parts.</w:t>
      </w:r>
    </w:p>
    <w:p>
      <w:r>
        <w:rPr>
          <w:b/>
          <w:i w:val="0"/>
        </w:rPr>
        <w:t>Deliverables:</w:t>
      </w:r>
      <w:r>
        <w:rPr>
          <w:b w:val="0"/>
          <w:i w:val="0"/>
        </w:rPr>
        <w:t xml:space="preserve"> one A3 landscape poster (min. font 11, self-explanatory, name + student ID top-left, PDF), runnable commented code, all data files, and an AI-usage disclaimer. Deadline 6 July 2026, 1 pm; poster presentation 9 July 2026.</w:t>
      </w:r>
    </w:p>
    <w:p>
      <w:pPr>
        <w:pStyle w:val="Heading1"/>
      </w:pPr>
      <w:r>
        <w:t>2. Setup — Data, Volatility and the Risk-Free Rate</w:t>
      </w:r>
    </w:p>
    <w:p>
      <w:r>
        <w:rPr>
          <w:b w:val="0"/>
          <w:i w:val="0"/>
        </w:rPr>
        <w:t>Everything in the notebook rests on three pieces of shared infrastructure that are worth understanding before any individual task: the price data, the two volatility estimators, and the Svensson risk-free curve. Session 2 (slides 2–3) lists the five valuation inputs every pricing exercise needs: spot price, strike/cap/barrier, time to maturity, risk-free rate, and volatility. This section is where the notebook sources each of them.</w:t>
      </w:r>
    </w:p>
    <w:p>
      <w:pPr>
        <w:pStyle w:val="Heading2"/>
      </w:pPr>
      <w:r>
        <w:t>2.1 Price data (spot input)</w:t>
      </w:r>
    </w:p>
    <w:p>
      <w:pPr>
        <w:pStyle w:val="ListBullet"/>
      </w:pPr>
      <w:r>
        <w:rPr>
          <w:b/>
        </w:rPr>
        <w:t>Source:</w:t>
      </w:r>
      <w:r>
        <w:rPr>
          <w:b w:val="0"/>
        </w:rPr>
        <w:t xml:space="preserve"> Yahoo Finance via the yfinance package, ticker RHM.DE, dividend- and split-adjusted closes (auto_adjust=True), 02 Jan 2023 – 01 Jun 2026 (866 trading days).</w:t>
      </w:r>
    </w:p>
    <w:p>
      <w:pPr>
        <w:pStyle w:val="ListBullet"/>
      </w:pPr>
      <w:r>
        <w:rPr>
          <w:b/>
        </w:rPr>
        <w:t>Cache-first design:</w:t>
      </w:r>
      <w:r>
        <w:rPr>
          <w:b w:val="0"/>
        </w:rPr>
        <w:t xml:space="preserve"> prices are stored in data/rhm_prices.csv and read from disk on every run (REFRESH = False). No live API call is made by default, so the submitted notebook runs fully offline and always reproduces the same numbers — a direct response to the requirement that the grader can re-run the code and get identical results.</w:t>
      </w:r>
    </w:p>
    <w:p>
      <w:pPr>
        <w:pStyle w:val="ListBullet"/>
      </w:pPr>
      <w:r>
        <w:rPr>
          <w:b/>
        </w:rPr>
        <w:t>Why start in Jan 2023:</w:t>
      </w:r>
      <w:r>
        <w:rPr>
          <w:b w:val="0"/>
        </w:rPr>
        <w:t xml:space="preserve"> the DU2076 valuation window opens 04 Sep 2025; ~2.7 years of history before that provides warm-up data for the rolling volatility and spans a full volatility regime (calm uptrend and the Nov 2025 crash).</w:t>
      </w:r>
    </w:p>
    <w:p>
      <w:pPr>
        <w:pStyle w:val="ListBullet"/>
      </w:pPr>
      <w:r>
        <w:rPr>
          <w:b/>
        </w:rPr>
        <w:t>Why end = 2026-06-02:</w:t>
      </w:r>
      <w:r>
        <w:rPr>
          <w:b w:val="0"/>
        </w:rPr>
        <w:t xml:space="preserve"> yfinance treats the end date as exclusive, so this setting makes 01 Jun 2026 — the design date for Part 1 and the last valuation day for Part 2 — the final row.</w:t>
      </w:r>
    </w:p>
    <w:p>
      <w:pPr>
        <w:pStyle w:val="Heading2"/>
      </w:pPr>
      <w:r>
        <w:t>2.2 Log-returns and the two volatility estimators</w:t>
      </w:r>
    </w:p>
    <w:p>
      <w:r>
        <w:rPr>
          <w:b w:val="0"/>
          <w:i w:val="0"/>
        </w:rPr>
        <w:t>All volatility estimation works on daily continuously compounded (log) returns: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rₜ = ln(Sₜ / Sₜ₋₁)</w:t>
      </w:r>
    </w:p>
    <w:p>
      <w:r>
        <w:rPr>
          <w:b w:val="0"/>
          <w:i w:val="0"/>
        </w:rPr>
        <w:t xml:space="preserve">The notebook deliberately maintains </w:t>
      </w:r>
      <w:r>
        <w:rPr>
          <w:b/>
          <w:i w:val="0"/>
        </w:rPr>
        <w:t>two different volatility estimators</w:t>
      </w:r>
      <w:r>
        <w:rPr>
          <w:b w:val="0"/>
          <w:i w:val="0"/>
        </w:rPr>
        <w:t xml:space="preserve"> and never merges them: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Estimator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Formula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Value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Used for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Full-sample historical σ (SIGMA_HIST)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σ̂ = √252 · std(r₁ … r_T),  T ≈ 866 days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39.88% p.a.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Part 1 product design (SIGMA_CPN); reference through-cycle vol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30-day rolling historical σ (rolling_vol_30)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σ̂ₜ = √252 · std(r₍ₜ₋₂₉₎ … rₜ), clipped to [10%, 60%]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range 19.1%–77.6%, mean 37.8%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Part 2 daily pricing (Tasks V–VII), looked up per valuation day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252-day trailing σ (sigma_mc)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σ̂ = √252 · std(last 252 returns to 01 Jun 2026)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45.57% p.a.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Part 3 Monte Carlo diffusion vol and put-pricing vol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Why the split?</w:t>
      </w:r>
      <w:r>
        <w:rPr>
          <w:b w:val="0"/>
          <w:i w:val="0"/>
        </w:rPr>
        <w:t xml:space="preserve"> A stable long-run estimate is the right input when designing a product or running a one-year simulation. But for daily mark-to-model pricing, a contemporaneous risk measure matters more: the 30-day window captures the volatility regime prevailing on each valuation day instead of averaging over three years. This time-varying choice is a deliberate quality feature of Task V (the tree re-reads the current vol every day), not an inconsistency. The [0.10, 0.60] clip guards against degenerate estimates in extremely quiet or extremely turbulent 30-day windows.</w:t>
      </w:r>
    </w:p>
    <w:p>
      <w:pPr>
        <w:pStyle w:val="Heading2"/>
      </w:pPr>
      <w:r>
        <w:t>2.3 Risk-free rate — Svensson (1994) yield curve</w:t>
      </w:r>
    </w:p>
    <w:p>
      <w:r>
        <w:rPr>
          <w:b w:val="0"/>
          <w:i w:val="0"/>
        </w:rPr>
        <w:t xml:space="preserve">Session 2 (slide 4) endorses the </w:t>
      </w:r>
      <w:r>
        <w:rPr>
          <w:b/>
          <w:i w:val="0"/>
        </w:rPr>
        <w:t>Svensson approach</w:t>
      </w:r>
      <w:r>
        <w:rPr>
          <w:b w:val="0"/>
          <w:i w:val="0"/>
        </w:rPr>
        <w:t xml:space="preserve"> for the risk-free input (a constant rate is only the pass-level fallback). The Svensson model writes the continuously compounded spot rate for maturity t as a six-parameter function that can reproduce all typical yield-curve shapes: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₀yₜ = β₀ + β₁·(1−e^(−t/τ₁))/(t/τ₁) + β₂·[(1−e^(−t/τ₁))/(t/τ₁) − e^(−t/τ₁)] + β₃·[(1−e^(−t/τ₂))/(t/τ₂) − e^(−t/τ₂)]</w:t>
      </w:r>
    </w:p>
    <w:p>
      <w:r>
        <w:rPr>
          <w:b w:val="0"/>
          <w:i w:val="0"/>
        </w:rPr>
        <w:t xml:space="preserve">The six parameters (β₀, β₁, β₂, β₃, τ₁, τ₂) are published </w:t>
      </w:r>
      <w:r>
        <w:rPr>
          <w:b/>
          <w:i w:val="0"/>
        </w:rPr>
        <w:t>daily</w:t>
      </w:r>
      <w:r>
        <w:rPr>
          <w:b w:val="0"/>
          <w:i w:val="0"/>
        </w:rPr>
        <w:t xml:space="preserve"> — the notebook uses the ECB Data Portal estimates for the AAA-rated euro-area sovereign curve, downloaded once and stored locally in data/ECB Data Portal_20260615151519.csv (199 dates, Sep 2025 – Jun 2026). Interpretation of the terms: β₀ is the long-run level, β₁ controls the short-end slope, β₂ and β₃ add up to two humps at maturities governed by τ₁ and τ₂.</w:t>
      </w:r>
    </w:p>
    <w:p>
      <w:r>
        <w:rPr>
          <w:b w:val="0"/>
          <w:i w:val="0"/>
        </w:rPr>
        <w:t xml:space="preserve">The notebook uses the curve at </w:t>
      </w:r>
      <w:r>
        <w:rPr>
          <w:b/>
          <w:i w:val="0"/>
        </w:rPr>
        <w:t>three different points</w:t>
      </w:r>
      <w:r>
        <w:rPr>
          <w:b w:val="0"/>
          <w:i w:val="0"/>
        </w:rPr>
        <w:t>, each deliberate:</w:t>
      </w:r>
    </w:p>
    <w:p>
      <w:pPr>
        <w:pStyle w:val="ListBullet"/>
      </w:pPr>
      <w:r>
        <w:rPr>
          <w:b/>
        </w:rPr>
        <w:t>Part 1 design:</w:t>
      </w:r>
      <w:r>
        <w:rPr>
          <w:b w:val="0"/>
        </w:rPr>
        <w:t xml:space="preserve"> R_CPN = svensson(3.0) = </w:t>
      </w:r>
      <w:r>
        <w:rPr>
          <w:b/>
        </w:rPr>
        <w:t>2.62%</w:t>
      </w:r>
      <w:r>
        <w:rPr>
          <w:b w:val="0"/>
        </w:rPr>
        <w:t xml:space="preserve"> — the 3-year spot rate matching the CPN maturity, from the static 01 Jun 2026 parameter snapshot SV_P1.</w:t>
      </w:r>
    </w:p>
    <w:p>
      <w:pPr>
        <w:pStyle w:val="ListBullet"/>
      </w:pPr>
      <w:r>
        <w:rPr>
          <w:b/>
        </w:rPr>
        <w:t>Part 2 daily loop:</w:t>
      </w:r>
      <w:r>
        <w:rPr>
          <w:b w:val="0"/>
        </w:rPr>
        <w:t xml:space="preserve"> get_risk_free_rate(date, T_rem) looks up </w:t>
      </w:r>
      <w:r>
        <w:rPr>
          <w:b/>
        </w:rPr>
        <w:t>that day's</w:t>
      </w:r>
      <w:r>
        <w:rPr>
          <w:b w:val="0"/>
        </w:rPr>
        <w:t xml:space="preserve"> ECB parameters (forward-filling weekends/holidays) and evaluates the curve at the certificate's </w:t>
      </w:r>
      <w:r>
        <w:rPr>
          <w:b/>
        </w:rPr>
        <w:t>remaining maturity</w:t>
      </w:r>
      <w:r>
        <w:rPr>
          <w:b w:val="0"/>
        </w:rPr>
        <w:t xml:space="preserve"> on that day — a daily, maturity-matched discount rate (mean 2.14% over the window, range 1.87%–2.59%).</w:t>
      </w:r>
    </w:p>
    <w:p>
      <w:pPr>
        <w:pStyle w:val="ListBullet"/>
      </w:pPr>
      <w:r>
        <w:rPr>
          <w:b/>
        </w:rPr>
        <w:t>Parts 1 &amp; 3 benchmark:</w:t>
      </w:r>
      <w:r>
        <w:rPr>
          <w:b w:val="0"/>
        </w:rPr>
        <w:t xml:space="preserve"> RISK_FREE = svensson(10.0) = </w:t>
      </w:r>
      <w:r>
        <w:rPr>
          <w:b/>
        </w:rPr>
        <w:t>3.07%</w:t>
      </w:r>
      <w:r>
        <w:rPr>
          <w:b w:val="0"/>
        </w:rPr>
        <w:t>, the 10-year benchmark rate used as the Sharpe-ratio reference and the Part 3 option-pricing rate. Using the long benchmark here is an intentional design choice.</w:t>
      </w:r>
    </w:p>
    <w:p>
      <w:pPr>
        <w:pStyle w:val="Heading2"/>
      </w:pPr>
      <w:r>
        <w:t>2.4 Dividend yield</w:t>
      </w:r>
    </w:p>
    <w:p>
      <w:r>
        <w:rPr>
          <w:b w:val="0"/>
          <w:i w:val="0"/>
        </w:rPr>
        <w:t xml:space="preserve">Rheinmetall's FY 2025 dividend is </w:t>
      </w:r>
      <w:r>
        <w:rPr>
          <w:b/>
          <w:i w:val="0"/>
        </w:rPr>
        <w:t>EUR 11.50 per share</w:t>
      </w:r>
      <w:r>
        <w:rPr>
          <w:b w:val="0"/>
          <w:i w:val="0"/>
        </w:rPr>
        <w:t xml:space="preserve"> (source: Rheinmetall IR, ex-div 13 May 2026). Divided by the design-date spot of EUR 1,207 this gives a continuous dividend-yield input q = </w:t>
      </w:r>
      <w:r>
        <w:rPr>
          <w:b/>
          <w:i w:val="0"/>
        </w:rPr>
        <w:t>0.95%</w:t>
      </w:r>
      <w:r>
        <w:rPr>
          <w:b w:val="0"/>
          <w:i w:val="0"/>
        </w:rPr>
        <w:t>. Session 3 confirms dividends should be included where relevant: in Black-Scholes the spot is replaced by S₀·e^(−qT); in the tree the risk-neutral probability uses (r − q); in the MC drift q lowers the risk-neutral drift to r − q (for the physical paths the adjusted price series already reinvests dividends).</w:t>
      </w:r>
    </w:p>
    <w:p>
      <w:pPr>
        <w:pStyle w:val="Heading1"/>
      </w:pPr>
      <w:r>
        <w:t>3. PART 1 — Designing the Certificate (Tasks I–IV)</w:t>
      </w:r>
    </w:p>
    <w:p>
      <w:r>
        <w:rPr>
          <w:b w:val="0"/>
          <w:i w:val="0"/>
        </w:rPr>
        <w:t xml:space="preserve">Part 1 designs a </w:t>
      </w:r>
      <w:r>
        <w:rPr>
          <w:b/>
          <w:i w:val="0"/>
        </w:rPr>
        <w:t>fictitious</w:t>
      </w:r>
      <w:r>
        <w:rPr>
          <w:b w:val="0"/>
          <w:i w:val="0"/>
        </w:rPr>
        <w:t xml:space="preserve"> product. The Q&amp;A "Do's/Don'ts" slide is explicit: define an investor profile, design an appropriate certificate, describe the components, illustrate the payoff, assess the market volume — and </w:t>
      </w:r>
      <w:r>
        <w:rPr>
          <w:b/>
          <w:i w:val="0"/>
        </w:rPr>
        <w:t>no valuation is required, no unrealistic components</w:t>
      </w:r>
      <w:r>
        <w:rPr>
          <w:b w:val="0"/>
          <w:i w:val="0"/>
        </w:rPr>
        <w:t>. Any pricing that appears in Part 1 is only an internal sanity check on the participation rate.</w:t>
      </w:r>
    </w:p>
    <w:p>
      <w:pPr>
        <w:pStyle w:val="Heading2"/>
      </w:pPr>
      <w:r>
        <w:t>3.1 Task I — Investor Profile</w:t>
      </w:r>
    </w:p>
    <w:p>
      <w:pPr>
        <w:pStyle w:val="Heading3"/>
      </w:pPr>
      <w:r>
        <w:t>What was asked</w:t>
      </w:r>
    </w:p>
    <w:p>
      <w:r>
        <w:rPr>
          <w:b w:val="0"/>
          <w:i w:val="0"/>
        </w:rPr>
        <w:t xml:space="preserve">Define a specific, realistic investor (age, horizon, risk tolerance, income vs. growth, market expectation) and argue why the designed product </w:t>
      </w:r>
      <w:r>
        <w:rPr>
          <w:b/>
          <w:i w:val="0"/>
        </w:rPr>
        <w:t>beats a direct investment in the underlying for this investor</w:t>
      </w:r>
      <w:r>
        <w:rPr>
          <w:b w:val="0"/>
          <w:i w:val="0"/>
        </w:rPr>
        <w:t>.</w:t>
      </w:r>
    </w:p>
    <w:p>
      <w:pPr>
        <w:pStyle w:val="Heading3"/>
      </w:pPr>
      <w:r>
        <w:t>What we did</w:t>
      </w:r>
    </w:p>
    <w:p>
      <w:r>
        <w:rPr>
          <w:b w:val="0"/>
          <w:i w:val="0"/>
        </w:rPr>
        <w:t xml:space="preserve">The profile is a German retail investor, </w:t>
      </w:r>
      <w:r>
        <w:rPr>
          <w:b/>
          <w:i w:val="0"/>
        </w:rPr>
        <w:t>age 40–60, pre-retirement</w:t>
      </w:r>
      <w:r>
        <w:rPr>
          <w:b w:val="0"/>
          <w:i w:val="0"/>
        </w:rPr>
        <w:t xml:space="preserve">, with a 3–5 year horizon and a strong thematic conviction on the European defence re-rating (Germany's €100bn Sondervermögen, NATO spending, Rheinmetall's ~€40bn order backlog) — but </w:t>
      </w:r>
      <w:r>
        <w:rPr>
          <w:b/>
          <w:i w:val="0"/>
        </w:rPr>
        <w:t>low-to-moderate risk tolerance</w:t>
      </w:r>
      <w:r>
        <w:rPr>
          <w:b w:val="0"/>
          <w:i w:val="0"/>
        </w:rPr>
        <w:t>: at ~40% annualised volatility, Rheinmetall can plausibly lose 30–40% in a year, which is incompatible with a capital-preservation mindset. Expectations: structurally bullish, central scenario +15–30% over 3 years; nominal capital protection at maturity is non-negotiable.</w:t>
      </w:r>
    </w:p>
    <w:p>
      <w:pPr>
        <w:pStyle w:val="Heading3"/>
      </w:pPr>
      <w:r>
        <w:t>Why the product beats the alternatives (the argument that earns the marks)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Alternative</w:t>
            </w:r>
          </w:p>
        </w:tc>
        <w:tc>
          <w:tcPr>
            <w:tcW w:type="dxa" w:w="7488"/>
          </w:tcPr>
          <w:p>
            <w:r/>
            <w:r>
              <w:rPr>
                <w:b/>
                <w:sz w:val="19"/>
              </w:rPr>
              <w:t>Why it fails this investor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Direct RHM stock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Right theme, but ~40% vol and full single-stock drawdown risk — too much downside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Defence ETF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Diversifies away the Rheinmetall-specific alpha; still no capital floor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Tagesgeld / fixed income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No access to the defence theme; declining real yields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Reverse convertible on RHM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Embedded short put hands the investor exactly the downside they want to avoid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The designed CPN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ZCB floor removes nominal loss risk; ~85% participation captures the 15–30% central case; cap at 130% is a cheap concession for this profile</w:t>
            </w:r>
          </w:p>
        </w:tc>
      </w:tr>
    </w:tbl>
    <w:p>
      <w:pPr>
        <w:spacing w:after="40"/>
      </w:pPr>
    </w:p>
    <w:p>
      <w:pPr>
        <w:pStyle w:val="Heading2"/>
      </w:pPr>
      <w:r>
        <w:t>3.2 Task II — Product Design</w:t>
      </w:r>
    </w:p>
    <w:p>
      <w:pPr>
        <w:pStyle w:val="Heading3"/>
      </w:pPr>
      <w:r>
        <w:t>What was asked</w:t>
      </w:r>
    </w:p>
    <w:p>
      <w:r>
        <w:rPr>
          <w:b w:val="0"/>
          <w:i w:val="0"/>
        </w:rPr>
        <w:t xml:space="preserve">A marketable certificate with </w:t>
      </w:r>
      <w:r>
        <w:rPr>
          <w:b/>
          <w:i w:val="0"/>
        </w:rPr>
        <w:t>at least two components</w:t>
      </w:r>
      <w:r>
        <w:rPr>
          <w:b w:val="0"/>
          <w:i w:val="0"/>
        </w:rPr>
        <w:t>; explain the intuition and describe each component. The theory source is the financial-engineering toolbox of Session 1 (slides 13–21): retail structured products are assembled from the underlying, vanilla calls/puts, binary options and barrier options (e.g. discount certificate = underlying − short call; bonus certificate = underlying + down-and-out put; capital protection = zero bond + call).</w:t>
      </w:r>
    </w:p>
    <w:p>
      <w:pPr>
        <w:pStyle w:val="Heading3"/>
      </w:pPr>
      <w:r>
        <w:t>The product: Capped Capital Protected Participation Note (CPN) on RHM.DE</w:t>
      </w:r>
    </w:p>
    <w:p>
      <w:r>
        <w:rPr>
          <w:b/>
          <w:i w:val="0"/>
        </w:rPr>
        <w:t>Intuition.</w:t>
      </w:r>
      <w:r>
        <w:rPr>
          <w:b w:val="0"/>
          <w:i w:val="0"/>
        </w:rPr>
        <w:t xml:space="preserve"> Put most of the capital into a zero-coupon bond that guarantees the nominal at maturity. The residual "option budget" buys an at-the-money call for upside participation. Selling an out-of-the-money call at 130% of S₀ brings in extra premium that lifts the participation rate α above what the budget alone would buy. The investor gives up gains beyond +30% — a mild concession when the central scenario is +15–30%. A useful engineering property at Rheinmetall's high σ: both calls in the spread gain from volatility, so the </w:t>
      </w:r>
      <w:r>
        <w:rPr>
          <w:b/>
          <w:i w:val="0"/>
        </w:rPr>
        <w:t>spread price — and hence α — is fairly stable in σ</w:t>
      </w:r>
      <w:r>
        <w:rPr>
          <w:b w:val="0"/>
          <w:i w:val="0"/>
        </w:rP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Component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Position</w:t>
            </w:r>
          </w:p>
        </w:tc>
        <w:tc>
          <w:tcPr>
            <w:tcW w:type="dxa" w:w="4896"/>
          </w:tcPr>
          <w:p>
            <w:r/>
            <w:r>
              <w:rPr>
                <w:b/>
                <w:sz w:val="19"/>
              </w:rPr>
              <w:t>Role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Zero-coupon bond, face = S₀ = €1,207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Long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Guarantees 100% of nominal at maturity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ATM European call, K = S₀ = €1,207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Long α units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Participation in upside above S₀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OTM European call, K = 130%·S₀ = €1,569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Short α units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Caps the gain at ~+25.6%; its premium funds a higher α</w:t>
            </w:r>
          </w:p>
        </w:tc>
      </w:tr>
    </w:tbl>
    <w:p>
      <w:pPr>
        <w:spacing w:after="40"/>
      </w:pPr>
    </w:p>
    <w:p>
      <w:pPr>
        <w:pStyle w:val="Heading3"/>
      </w:pPr>
      <w:r>
        <w:t>The at-par condition and the participation rate</w:t>
      </w:r>
    </w:p>
    <w:p>
      <w:r>
        <w:rPr>
          <w:b w:val="0"/>
          <w:i w:val="0"/>
        </w:rPr>
        <w:t>The product is issued at par: its components must cost exactly the S₀ = €1,207 the investor pays. That single equation pins down α: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CPN₀ = ZCB₀ + α · [Call(K = S₀) − Call(K = Cap)] = S₀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α = (S₀ − ZCB₀) / [Call(S₀) − Call(Cap)]</w:t>
      </w:r>
    </w:p>
    <w:p>
      <w:r>
        <w:rPr>
          <w:b w:val="0"/>
          <w:i w:val="0"/>
        </w:rPr>
        <w:t xml:space="preserve">The calls are valued with the dividend-adjusted </w:t>
      </w:r>
      <w:r>
        <w:rPr>
          <w:b/>
          <w:i w:val="0"/>
        </w:rPr>
        <w:t>Black-Scholes</w:t>
      </w:r>
      <w:r>
        <w:rPr>
          <w:b w:val="0"/>
          <w:i w:val="0"/>
        </w:rPr>
        <w:t xml:space="preserve"> formula (Session 2, slide 58):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C₀ = S₀·e^(−qT)·N(d₁) − K·e^(−rT)·N(d₂)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d₁,₂ = [ln(S₀/K) + (r − q ± ½σ²)·T] / (σ·√T)</w:t>
      </w:r>
    </w:p>
    <w:p>
      <w:r>
        <w:rPr>
          <w:b w:val="0"/>
          <w:i w:val="0"/>
        </w:rPr>
        <w:t>Inputs: r = 2.62% (3y Svensson), σ = 39.88% (full-sample historical), q = 0.95%, T = 3y. Executed result: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/>
            <w:r>
              <w:rPr>
                <w:b/>
                <w:sz w:val="19"/>
              </w:rPr>
              <w:t>Quantity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Value (EUR)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ZCB present value  S₀·e^(−rT)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1,115.79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ATM call (K = 1,207)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338.64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Cap call (K = 1,569), short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231.59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Spread (long − short)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107.04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Participation rate α = (1,207 − 1,115.79) / 107.04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85.2%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Maximum gain α·(Cap − K) → max payoff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+25.6% (payoff €1,515.53)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Note this is not a "valuation"</w:t>
      </w:r>
      <w:r>
        <w:rPr>
          <w:b w:val="0"/>
          <w:i w:val="0"/>
        </w:rPr>
        <w:t xml:space="preserve"> in the Part 2 sense: Part 1 requires none. The Black-Scholes call here only verifies that the advertised participation rate is economically consistent with market inputs.</w:t>
      </w:r>
    </w:p>
    <w:p>
      <w:pPr>
        <w:pStyle w:val="Heading2"/>
      </w:pPr>
      <w:r>
        <w:t>3.3 Task III — Payoff Profile</w:t>
      </w:r>
    </w:p>
    <w:p>
      <w:pPr>
        <w:pStyle w:val="Heading3"/>
      </w:pPr>
      <w:r>
        <w:t>What was asked</w:t>
      </w:r>
    </w:p>
    <w:p>
      <w:r>
        <w:rPr>
          <w:b w:val="0"/>
          <w:i w:val="0"/>
        </w:rPr>
        <w:t>One clear graphic of the payoff at maturity versus the underlying, explicitly marking where the product does and does not outperform a direct investment.</w:t>
      </w:r>
    </w:p>
    <w:p>
      <w:pPr>
        <w:pStyle w:val="Heading3"/>
      </w:pPr>
      <w:r>
        <w:t>The payoff function and its three regimes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CPN_T = S₀ + α · [ max(S_T − S₀, 0) − max(S_T − Cap, 0) 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</w:tcPr>
          <w:p>
            <w:r/>
            <w:r>
              <w:rPr>
                <w:b/>
                <w:sz w:val="19"/>
              </w:rPr>
              <w:t>Terminal region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Payoff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vs. direct stock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S_T ≤ 1,207  (bearish)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Flat €1,207 — capital protected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CPN outperforms (stock loses, CPN does not)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1,207 &lt; S_T ≤ 1,569  (moderately bullish)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€1,207 + 0.852·(S_T − 1,207)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Stock slightly ahead (α &lt; 1), CPN close behind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S_T &gt; 1,569  (strongly bullish)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Capped at €1,515.53 (+25.6%)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Stock outperforms — upside beyond +30% is foregone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The notebook plot (graphs/payoff_profile.png) overlays the CPN, the direct stock and a risk-free bond (which grows to ≈ €1,306), draws vertical markers at the protection level, the cap and the </w:t>
      </w:r>
      <w:r>
        <w:rPr>
          <w:b/>
          <w:i w:val="0"/>
        </w:rPr>
        <w:t>break-even point vs. the bond</w:t>
      </w:r>
      <w:r>
        <w:rPr>
          <w:b w:val="0"/>
          <w:i w:val="0"/>
        </w:rPr>
        <w:t xml:space="preserve"> at S_T = K + (bond value − S₀)/α ≈ €1,323, and shades the outperformance and underperformance regions — exactly the "mark where it does and does not outperform" requirement. A table beneath quantifies CPN, stock and bond values at representative terminal prices.</w:t>
      </w:r>
    </w:p>
    <w:p>
      <w:pPr>
        <w:pStyle w:val="Heading2"/>
      </w:pPr>
      <w:r>
        <w:t>3.4 Task IV — Market Size Estimation</w:t>
      </w:r>
    </w:p>
    <w:p>
      <w:pPr>
        <w:pStyle w:val="Heading3"/>
      </w:pPr>
      <w:r>
        <w:t>What was asked</w:t>
      </w:r>
    </w:p>
    <w:p>
      <w:r>
        <w:rPr>
          <w:b w:val="0"/>
          <w:i w:val="0"/>
        </w:rPr>
        <w:t xml:space="preserve">Estimate the total German market for the product </w:t>
      </w:r>
      <w:r>
        <w:rPr>
          <w:b/>
          <w:i w:val="0"/>
        </w:rPr>
        <w:t>class</w:t>
      </w:r>
      <w:r>
        <w:rPr>
          <w:b w:val="0"/>
          <w:i w:val="0"/>
        </w:rPr>
        <w:t xml:space="preserve"> using comparable products and investor demand. The anchor is the lecture's market table (BSW/DDV 2023): total German structured-product market ≈ </w:t>
      </w:r>
      <w:r>
        <w:rPr>
          <w:b/>
          <w:i w:val="0"/>
        </w:rPr>
        <w:t>EUR 112 bn</w:t>
      </w:r>
      <w:r>
        <w:rPr>
          <w:b w:val="0"/>
          <w:i w:val="0"/>
        </w:rPr>
        <w:t xml:space="preserve"> outstanding.</w:t>
      </w:r>
    </w:p>
    <w:p>
      <w:pPr>
        <w:pStyle w:val="Heading3"/>
      </w:pPr>
      <w:r>
        <w:t>The funnel calculation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Step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Value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Source / logic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Total German structured-product market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EUR 112 bn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BSW 2023 table (lecture, slide 13)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Kapitalschutz (capital-protection) segment, 3.8%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EUR 4.26 bn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DDV product-category share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of which participation notes (~55%)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EUR 2.34 bn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DDV sub-segment split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Active issues ≈ 130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≈ 6 issuers × ~20 products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DZ BANK, Commerzbank, LBBW, Goldman, HVB, SocGen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Average issue size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≈ EUR 33 mn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4.26 bn ÷ 130 — plausible size for a RHM-linked CPN on EUWAX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Demand reasoning</w:t>
      </w:r>
      <w:r>
        <w:rPr>
          <w:b w:val="0"/>
          <w:i w:val="0"/>
        </w:rPr>
        <w:t xml:space="preserve"> (the qualitative half of the answer): Germany's large cohort of security-oriented savers with sectoral convictions; declining deposit rates making capital-protected equity alternatives attractive vs. Tagesgeld; rising equity participation among 40–65-year-olds mainly through loss-protected instruments; and MiFID II suitability — capital-protected notes qualify for conservative profiles. Complexity-wise the 3-component CPN sits between discount certificates (2 components) and bonus certificates.</w:t>
      </w:r>
    </w:p>
    <w:p>
      <w:pPr>
        <w:pStyle w:val="Heading1"/>
      </w:pPr>
      <w:r>
        <w:t>4. PART 2 — Valuation of a Traded Certificate (Tasks V–VII)</w:t>
      </w:r>
    </w:p>
    <w:p>
      <w:pPr>
        <w:pStyle w:val="Heading2"/>
      </w:pPr>
      <w:r>
        <w:t>4.1 The product: DU2076 Bonus Cap Certificate (DZ BANK)</w:t>
      </w:r>
    </w:p>
    <w:p>
      <w:r>
        <w:rPr>
          <w:b w:val="0"/>
          <w:i w:val="0"/>
        </w:rPr>
        <w:t xml:space="preserve">Part 2 requires a </w:t>
      </w:r>
      <w:r>
        <w:rPr>
          <w:b/>
          <w:i w:val="0"/>
        </w:rPr>
        <w:t>really traded</w:t>
      </w:r>
      <w:r>
        <w:rPr>
          <w:b w:val="0"/>
          <w:i w:val="0"/>
        </w:rPr>
        <w:t xml:space="preserve"> product on the Part 1 underlying with at least one year (≥100 trading days) of daily prices — no open-end products. The notebook uses DZ BANK's Bonus Cap Certificate </w:t>
      </w:r>
      <w:r>
        <w:rPr>
          <w:b/>
          <w:i w:val="0"/>
        </w:rPr>
        <w:t>DU2076 / DE000DU20767</w:t>
      </w:r>
      <w:r>
        <w:rPr>
          <w:b w:val="0"/>
          <w:i w:val="0"/>
        </w:rPr>
        <w:t xml:space="preserve"> on Rheinmetall: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480"/>
          </w:tcPr>
          <w:p>
            <w:r/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Issuer / type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DZ BANK AG — Bonus Cap Certificate (Bonus-Zertifikat mit Cap)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Underlying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Rheinmetall AG (DE0007030009, XETRA)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Knock-out barrier B (continuous)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EUR 1,050 — observed daily 04 Sep 2025 → 18 Jun 2027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Bonus / cap level K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EUR 2,000, ratio 1:1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Issue / last valuation / payment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04 Sep 2025 / 18 Jun 2027 / 25 Jun 2027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Data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Product page dzbank-wertpapiere.de/DU2076; KID PDF (bib-service.dzbank.de); daily closes exported from onvista.de into data/cert_prices.csv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Payoff at maturity: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V_T = 2,000                    if S_t &gt; 1,050 for ALL t in [04 Sep 2025, 18 Jun 2027]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V_T = min(S_T, 2,000)      if the barrier was touched at any time</w:t>
      </w:r>
    </w:p>
    <w:p>
      <w:r>
        <w:rPr>
          <w:b/>
          <w:i w:val="0"/>
        </w:rPr>
        <w:t>Intuition:</w:t>
      </w:r>
      <w:r>
        <w:rPr>
          <w:b w:val="0"/>
          <w:i w:val="0"/>
        </w:rPr>
        <w:t xml:space="preserve"> as long as Rheinmetall never trades at or below €1,050 during the product's life, the holder receives the full €2,000 bonus no matter where the stock ends. One touch of the barrier and the bonus is permanently lost — the certificate degrades into a capped long stock position. The holder gives up dividends in exchange for conditional downside protection plus a bonus above the current spot.</w:t>
      </w:r>
    </w:p>
    <w:p>
      <w:pPr>
        <w:pStyle w:val="Heading2"/>
      </w:pPr>
      <w:r>
        <w:t>4.2 The pricing engine — decomposition and the binomial tree</w:t>
      </w:r>
    </w:p>
    <w:p>
      <w:pPr>
        <w:pStyle w:val="Heading3"/>
      </w:pPr>
      <w:r>
        <w:t>Decomposition</w:t>
      </w:r>
    </w:p>
    <w:p>
      <w:r>
        <w:rPr>
          <w:b w:val="0"/>
          <w:i w:val="0"/>
        </w:rPr>
        <w:t>The certificate is split into two building blocks that are priced simultaneously on one tree: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V_cert(S₀) = V_DO-put(S₀; K = 2,000, B = 1,050) + V_capped-fwd(S₀; K = 2,000)</w:t>
      </w:r>
    </w:p>
    <w:p>
      <w:pPr>
        <w:pStyle w:val="ListBullet"/>
      </w:pPr>
      <w:r>
        <w:rPr>
          <w:b/>
        </w:rPr>
        <w:t>Capped forward:</w:t>
      </w:r>
      <w:r>
        <w:rPr>
          <w:b w:val="0"/>
        </w:rPr>
        <w:t xml:space="preserve"> pays min(S_T, K) at maturity — economically "own the stock, sell a call at K".</w:t>
      </w:r>
    </w:p>
    <w:p>
      <w:pPr>
        <w:pStyle w:val="ListBullet"/>
      </w:pPr>
      <w:r>
        <w:rPr>
          <w:b/>
        </w:rPr>
        <w:t>Down-and-out put:</w:t>
      </w:r>
      <w:r>
        <w:rPr>
          <w:b w:val="0"/>
        </w:rPr>
        <w:t xml:space="preserve"> pays max(K − S_T, 0) </w:t>
      </w:r>
      <w:r>
        <w:rPr>
          <w:b/>
        </w:rPr>
        <w:t>only if</w:t>
      </w:r>
      <w:r>
        <w:rPr>
          <w:b w:val="0"/>
        </w:rPr>
        <w:t xml:space="preserve"> the stock never touched B. Together, in the no-touch state they sum to min(S_T,K) + (K − S_T)⁺ = K = the €2,000 bonus; after a knock-out only min(S_T, K) survives. The decomposition reproduces the term sheet exactly.</w:t>
      </w:r>
    </w:p>
    <w:p>
      <w:pPr>
        <w:pStyle w:val="Heading3"/>
      </w:pPr>
      <w:r>
        <w:t>Why Black-Scholes cannot price this (the "path dependency" argument)</w:t>
      </w:r>
    </w:p>
    <w:p>
      <w:r>
        <w:rPr>
          <w:b w:val="0"/>
          <w:i w:val="0"/>
        </w:rPr>
        <w:t xml:space="preserve">Black-Scholes prices payoffs that depend </w:t>
      </w:r>
      <w:r>
        <w:rPr>
          <w:b/>
          <w:i w:val="0"/>
        </w:rPr>
        <w:t>only on the terminal price S_T</w:t>
      </w:r>
      <w:r>
        <w:rPr>
          <w:b w:val="0"/>
          <w:i w:val="0"/>
        </w:rPr>
        <w:t xml:space="preserve"> — it models the lognormal distribution of the endpoint and knows nothing about the path in between. The DU2076 barrier condition is a statement about the </w:t>
      </w:r>
      <w:r>
        <w:rPr>
          <w:b/>
          <w:i w:val="0"/>
        </w:rPr>
        <w:t>whole path</w:t>
      </w:r>
      <w:r>
        <w:rPr>
          <w:b w:val="0"/>
          <w:i w:val="0"/>
        </w:rPr>
        <w:t xml:space="preserve">: touching €1,050 in March 2026 kills the bonus even if the stock recovers to €1,900 by maturity. A model with no intermediate time steps cannot answer "did the stock ever cross the barrier?". Any such product (barriers, Asians, lookbacks) needs a lattice, Monte Carlo, or a specifically derived closed form. Hence the </w:t>
      </w:r>
      <w:r>
        <w:rPr>
          <w:b/>
          <w:i w:val="0"/>
        </w:rPr>
        <w:t>CRR binomial tree</w:t>
      </w:r>
      <w:r>
        <w:rPr>
          <w:b w:val="0"/>
          <w:i w:val="0"/>
        </w:rPr>
        <w:t>.</w:t>
      </w:r>
    </w:p>
    <w:p>
      <w:pPr>
        <w:pStyle w:val="Heading3"/>
      </w:pPr>
      <w:r>
        <w:t>CRR tree mechanics (Session 2, slides 57–59)</w:t>
      </w:r>
    </w:p>
    <w:p>
      <w:r>
        <w:rPr>
          <w:b w:val="0"/>
          <w:i w:val="0"/>
        </w:rPr>
        <w:t>Time to maturity is discretised into N steps of length Δt = T/N. Each step the stock moves up by u or down by d, calibrated to the volatility: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u = e^(σ√Δt),   d = 1/u = e^(−σ√Δt)</w:t>
      </w:r>
    </w:p>
    <w:p>
      <w:r>
        <w:rPr>
          <w:b w:val="0"/>
          <w:i w:val="0"/>
        </w:rPr>
        <w:t xml:space="preserve">Because u·d = 1 the tree </w:t>
      </w:r>
      <w:r>
        <w:rPr>
          <w:b/>
          <w:i w:val="0"/>
        </w:rPr>
        <w:t>recombines</w:t>
      </w:r>
      <w:r>
        <w:rPr>
          <w:b w:val="0"/>
          <w:i w:val="0"/>
        </w:rPr>
        <w:t xml:space="preserve">: at step n there are only n+1 nodes, with node (n, j) at S₀·uʲ·d^(n−j). Under a continuous dividend yield θ, imposing no-arbitrage on one step (S₀ = e^(−rΔt)·E[S_next·e^(θΔt)]) gives the </w:t>
      </w:r>
      <w:r>
        <w:rPr>
          <w:b/>
          <w:i w:val="0"/>
        </w:rPr>
        <w:t>risk-neutral up-probability</w:t>
      </w:r>
      <w:r>
        <w:rPr>
          <w:b w:val="0"/>
          <w:i w:val="0"/>
        </w:rPr>
        <w:t xml:space="preserve"> (slide 59):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q = (e^((r−θ)Δt) − d) / (u − d)</w:t>
      </w:r>
    </w:p>
    <w:p>
      <w:r>
        <w:rPr>
          <w:b w:val="0"/>
          <w:i w:val="0"/>
        </w:rPr>
        <w:t xml:space="preserve">Note q is *not* the real-world up-probability — the arbitrage-free price needs only the risk characteristics (u, d, i.e. σ), never the true drift. </w:t>
      </w:r>
      <w:r>
        <w:rPr>
          <w:b/>
          <w:i w:val="0"/>
        </w:rPr>
        <w:t>Backward induction</w:t>
      </w:r>
      <w:r>
        <w:rPr>
          <w:b w:val="0"/>
          <w:i w:val="0"/>
        </w:rPr>
        <w:t xml:space="preserve"> then proceeds:</w:t>
      </w:r>
    </w:p>
    <w:p>
      <w:pPr>
        <w:pStyle w:val="ListBullet"/>
      </w:pPr>
      <w:r>
        <w:rPr>
          <w:b w:val="0"/>
        </w:rPr>
        <w:t>1. Terminal payoffs at step N: V_DO = max(K − S,0) zeroed where S ≤ B; V_cf = min(S, K).</w:t>
      </w:r>
    </w:p>
    <w:p>
      <w:pPr>
        <w:pStyle w:val="ListBullet"/>
      </w:pPr>
      <w:r>
        <w:rPr>
          <w:b w:val="0"/>
        </w:rPr>
        <w:t>2. Roll back one step: V(n,j) = e^(−rΔt)·[q·V(n+1, j+1) + (1−q)·V(n+1, j)].</w:t>
      </w:r>
    </w:p>
    <w:p>
      <w:pPr>
        <w:pStyle w:val="ListBullet"/>
      </w:pPr>
      <w:r>
        <w:rPr>
          <w:b w:val="0"/>
        </w:rPr>
        <w:t xml:space="preserve">3. </w:t>
      </w:r>
      <w:r>
        <w:rPr>
          <w:b/>
        </w:rPr>
        <w:t>Barrier absorption at every step:</w:t>
      </w:r>
      <w:r>
        <w:rPr>
          <w:b w:val="0"/>
        </w:rPr>
        <w:t xml:space="preserve"> any node with S ≤ B = 1,050 has its down-and-out-put value forced to zero before rolling back further. Knocked-out value propagates correctly to the root.</w:t>
      </w:r>
    </w:p>
    <w:p>
      <w:pPr>
        <w:pStyle w:val="ListBullet"/>
      </w:pPr>
      <w:r>
        <w:rPr>
          <w:b w:val="0"/>
        </w:rPr>
        <w:t>4. The root value V(0,0) is the model price.</w:t>
      </w:r>
    </w:p>
    <w:p>
      <w:r>
        <w:rPr>
          <w:b/>
          <w:i w:val="0"/>
        </w:rPr>
        <w:t>Implementation details worth citing in a defence:</w:t>
      </w:r>
      <w:r>
        <w:rPr>
          <w:b w:val="0"/>
          <w:i w:val="0"/>
        </w:rPr>
        <w:t xml:space="preserve"> the pricer averages an N-step and an (N+1)-step tree — barrier-option tree prices oscillate between even and odd N because the barrier falls between node layers; averaging cancels this odd-even oscillation and smooths the Greeks. The daily valuation loop runs N = 200 steps, which on a ~1.8-year maturity puts the step size at ~2.3 trading days.</w:t>
      </w:r>
    </w:p>
    <w:p>
      <w:pPr>
        <w:pStyle w:val="Heading2"/>
      </w:pPr>
      <w:r>
        <w:t>4.3 Task V — Daily Valuation over 100+ Days</w:t>
      </w:r>
    </w:p>
    <w:p>
      <w:pPr>
        <w:pStyle w:val="Heading3"/>
      </w:pPr>
      <w:r>
        <w:t>What was asked</w:t>
      </w:r>
    </w:p>
    <w:p>
      <w:r>
        <w:rPr>
          <w:b w:val="0"/>
          <w:i w:val="0"/>
        </w:rPr>
        <w:t xml:space="preserve">Value the product with the preferred method over a window of at least 100 trading days, compare daily model prices with observed market prices, report error metrics </w:t>
      </w:r>
      <w:r>
        <w:rPr>
          <w:b/>
          <w:i w:val="0"/>
        </w:rPr>
        <w:t>in a table</w:t>
      </w:r>
      <w:r>
        <w:rPr>
          <w:b w:val="0"/>
          <w:i w:val="0"/>
        </w:rPr>
        <w:t xml:space="preserve"> and comment on why model and market differ.</w:t>
      </w:r>
    </w:p>
    <w:p>
      <w:pPr>
        <w:pStyle w:val="Heading3"/>
      </w:pPr>
      <w:r>
        <w:t>Methodology — the daily loop</w:t>
      </w:r>
    </w:p>
    <w:p>
      <w:r>
        <w:rPr>
          <w:b w:val="0"/>
          <w:i w:val="0"/>
        </w:rPr>
        <w:t xml:space="preserve">Market prices: 183 daily DU2076 closes (04 Sep 2025 – 01 Jun 2026, the full trading history of the certificate) exported from onvista.de (semicolon-separated, German decimal format) into data/cert_prices.csv and aligned with the stock's trading dates. Then, </w:t>
      </w:r>
      <w:r>
        <w:rPr>
          <w:b/>
          <w:i w:val="0"/>
        </w:rPr>
        <w:t>for each trading day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</w:rPr>
        <w:t>1. Remaining maturity T_rem = (18 Jun 2027 − date)/365 — recomputed daily, as the brief requires.</w:t>
      </w:r>
    </w:p>
    <w:p>
      <w:pPr>
        <w:pStyle w:val="ListBullet"/>
      </w:pPr>
      <w:r>
        <w:rPr>
          <w:b w:val="0"/>
        </w:rPr>
        <w:t xml:space="preserve">2. Risk-free rate r(T_rem) from </w:t>
      </w:r>
      <w:r>
        <w:rPr>
          <w:b/>
        </w:rPr>
        <w:t>that day's</w:t>
      </w:r>
      <w:r>
        <w:rPr>
          <w:b w:val="0"/>
        </w:rPr>
        <w:t xml:space="preserve"> ECB Svensson parameters (maturity-matched, forward-filled over non-business days).</w:t>
      </w:r>
    </w:p>
    <w:p>
      <w:pPr>
        <w:pStyle w:val="ListBullet"/>
      </w:pPr>
      <w:r>
        <w:rPr>
          <w:b w:val="0"/>
        </w:rPr>
        <w:t>3. Volatility σₜ = 30-day rolling historical vol as of that day (clipped to [10%, 60%]); over the window it ranged 26.3%–58.6%, mean 44.4%.</w:t>
      </w:r>
    </w:p>
    <w:p>
      <w:pPr>
        <w:pStyle w:val="ListBullet"/>
      </w:pPr>
      <w:r>
        <w:rPr>
          <w:b w:val="0"/>
        </w:rPr>
        <w:t>4. Model price = bonus_cap_cert_price(Sₜ, 2000, 1050, rₜ, q = 0.95%, σₜ, T_rem) on the N/N+1 tree.</w:t>
      </w:r>
    </w:p>
    <w:p>
      <w:pPr>
        <w:pStyle w:val="Heading3"/>
      </w:pPr>
      <w:r>
        <w:t>Error metrics — definitions and results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ME = (1/n)·Σ(P̂ᵢ − Pᵢ)        MAE = (1/n)·Σ|P̂ᵢ − Pᵢ|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RMSE = √[(1/n)·Σ(P̂ᵢ − Pᵢ)²]      MAPE = (1/n)·Σ|P̂ᵢ − Pᵢ|/Pᵢ · 100</w:t>
      </w:r>
    </w:p>
    <w:p>
      <w:r>
        <w:rPr>
          <w:b w:val="0"/>
          <w:i w:val="0"/>
        </w:rPr>
        <w:t xml:space="preserve">ME reveals the </w:t>
      </w:r>
      <w:r>
        <w:rPr>
          <w:b/>
          <w:i w:val="0"/>
        </w:rPr>
        <w:t>direction</w:t>
      </w:r>
      <w:r>
        <w:rPr>
          <w:b w:val="0"/>
          <w:i w:val="0"/>
        </w:rPr>
        <w:t xml:space="preserve"> of the bias (over- vs. under-pricing); MAE and RMSE the magnitude, with RMSE penalising large misses; MAPE scales by the price level. Executed results over 183 days: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Value</w:t>
            </w:r>
          </w:p>
        </w:tc>
        <w:tc>
          <w:tcPr>
            <w:tcW w:type="dxa" w:w="4752"/>
          </w:tcPr>
          <w:p>
            <w:r/>
            <w:r>
              <w:rPr>
                <w:b/>
                <w:sz w:val="19"/>
              </w:rPr>
              <w:t>Reading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Mean Error (ME)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−94.25 EUR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Systematic UNDER-pricing by the model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MAE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110.89 EUR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≈ 7% of a ~EUR 1,500 certificate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RMSE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123.31 EUR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Errors fairly uniform; no huge outliers dominating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MAPE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7.11%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Relative scale of the misfit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Error quantiles (25/50/75/95%)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−153.6 / −95.0 / −56.4 / +75.6 EUR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Bulk of days below zero — bias, not noise</w:t>
            </w:r>
          </w:p>
        </w:tc>
      </w:tr>
    </w:tbl>
    <w:p>
      <w:pPr>
        <w:spacing w:after="40"/>
      </w:pPr>
    </w:p>
    <w:p>
      <w:pPr>
        <w:pStyle w:val="Heading3"/>
      </w:pPr>
      <w:r>
        <w:t>Why is there a pricing error? (the marks-earning discussion)</w:t>
      </w:r>
    </w:p>
    <w:p>
      <w:pPr>
        <w:pStyle w:val="ListBullet"/>
      </w:pPr>
      <w:r>
        <w:rPr>
          <w:b/>
        </w:rPr>
        <w:t>Issuer margin:</w:t>
      </w:r>
      <w:r>
        <w:rPr>
          <w:b w:val="0"/>
        </w:rPr>
        <w:t xml:space="preserve"> every observed onvista close embeds DZ BANK's manufacturing and distribution spread over fair value; a risk-neutral tree cannot reproduce that, so the model sits below the quote roughly by the spread.</w:t>
      </w:r>
    </w:p>
    <w:p>
      <w:pPr>
        <w:pStyle w:val="ListBullet"/>
      </w:pPr>
      <w:r>
        <w:rPr>
          <w:b/>
        </w:rPr>
        <w:t>Implied vs. realized volatility (Session 2, slides 5–7):</w:t>
      </w:r>
      <w:r>
        <w:rPr>
          <w:b w:val="0"/>
        </w:rPr>
        <w:t xml:space="preserve"> the market prices on *implied* vol (expectations, risk premium, supply/demand); our tree uses *realized* (historical) vol. On average implied &gt; realized — options are on average "too expensive", so option-short structures like discount certificates look cheap. For DU2076 the twist is that the certificate has </w:t>
      </w:r>
      <w:r>
        <w:rPr>
          <w:b/>
        </w:rPr>
        <w:t>negative vega</w:t>
      </w:r>
      <w:r>
        <w:rPr>
          <w:b w:val="0"/>
        </w:rPr>
        <w:t xml:space="preserve"> (higher vol → higher barrier-breach probability → smaller bonus expectation). The 30-day realized vol (mean 44.4%) exceeded what the market was implicitly pricing, so the model assumed *too much* knock-out risk and systematically underpriced.</w:t>
      </w:r>
    </w:p>
    <w:p>
      <w:pPr>
        <w:pStyle w:val="ListBullet"/>
      </w:pPr>
      <w:r>
        <w:rPr>
          <w:b/>
        </w:rPr>
        <w:t>Where the fit was best/worst:</w:t>
      </w:r>
      <w:r>
        <w:rPr>
          <w:b w:val="0"/>
        </w:rPr>
        <w:t xml:space="preserve"> best on 18 Sep 2025 (error ≈ −3 EUR) when rolling vol dipped to ~35% and the vol gap closed; worst on 05 Jan 2026 (−245 EUR) during the high-vol turn of the year. This pattern is itself evidence for the volatility-gap explanation.</w:t>
      </w:r>
    </w:p>
    <w:p>
      <w:pPr>
        <w:pStyle w:val="Heading2"/>
      </w:pPr>
      <w:r>
        <w:t>4.4 Task VI — Sensitivity Analysis (Greeks)</w:t>
      </w:r>
    </w:p>
    <w:p>
      <w:pPr>
        <w:pStyle w:val="Heading3"/>
      </w:pPr>
      <w:r>
        <w:t>What was asked</w:t>
      </w:r>
    </w:p>
    <w:p>
      <w:r>
        <w:rPr>
          <w:b w:val="0"/>
          <w:i w:val="0"/>
        </w:rPr>
        <w:t>Plot the Greeks (at least Delta, Gamma, Vega — which must also appear on the poster; Theta/Rho may be left to the oral) and discuss. Inputs may be observed or sensible fictitious values.</w:t>
      </w:r>
    </w:p>
    <w:p>
      <w:pPr>
        <w:pStyle w:val="Heading3"/>
      </w:pPr>
      <w:r>
        <w:t>Theory — analytic vs. numerical Greeks</w:t>
      </w:r>
    </w:p>
    <w:p>
      <w:r>
        <w:rPr>
          <w:b w:val="0"/>
          <w:i w:val="0"/>
        </w:rPr>
        <w:t>For vanilla options closed forms exist (Session 2, slide 12), with N′(x) = e^(−x²/2)/√(2π):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Δ_call = N(d₁),   Δ_put = N(d₁) − 1,   Γ = N′(d₁)/(S·σ·√T),   Vega = S·N′(d₁)·√T</w:t>
      </w:r>
    </w:p>
    <w:p>
      <w:r>
        <w:rPr>
          <w:b w:val="0"/>
          <w:i w:val="0"/>
        </w:rPr>
        <w:t xml:space="preserve">The bonus-cap certificate has </w:t>
      </w:r>
      <w:r>
        <w:rPr>
          <w:b/>
          <w:i w:val="0"/>
        </w:rPr>
        <w:t>no closed-form Greeks</w:t>
      </w:r>
      <w:r>
        <w:rPr>
          <w:b w:val="0"/>
          <w:i w:val="0"/>
        </w:rPr>
        <w:t xml:space="preserve"> (path-dependent barrier), so the notebook uses the recommended numerical route — </w:t>
      </w:r>
      <w:r>
        <w:rPr>
          <w:b/>
          <w:i w:val="0"/>
        </w:rPr>
        <w:t>central finite differences</w:t>
      </w:r>
      <w:r>
        <w:rPr>
          <w:b w:val="0"/>
          <w:i w:val="0"/>
        </w:rPr>
        <w:t>: bump one input, re-price on the tree, difference: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Δ ≈ [V(S+h) − V(S−h)] / 2h        Γ ≈ [V(S+h) − 2V(S) + V(S−h)] / h²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Vega ≈ [V(σ+h) − V(σ−h)] / 2h</w:t>
      </w:r>
    </w:p>
    <w:p>
      <w:r>
        <w:rPr>
          <w:b/>
          <w:i w:val="0"/>
        </w:rPr>
        <w:t>Bump-size choices (and why they matter):</w:t>
      </w:r>
      <w:r>
        <w:rPr>
          <w:b w:val="0"/>
          <w:i w:val="0"/>
        </w:rPr>
        <w:t xml:space="preserve"> h must be small relative to S or σ but large enough that the difference is not swamped by tree discretisation noise. The notebook uses a 1% spot bump for Delta, a </w:t>
      </w:r>
      <w:r>
        <w:rPr>
          <w:b/>
          <w:i w:val="0"/>
        </w:rPr>
        <w:t>5% spot bump for Gamma</w:t>
      </w:r>
      <w:r>
        <w:rPr>
          <w:b w:val="0"/>
          <w:i w:val="0"/>
        </w:rPr>
        <w:t xml:space="preserve"> — the tree's node spacing near the reference spot is ~EUR 39, so a 1% (~EUR 14) bump is *sub-grid* and the second difference would collapse to float noise — and a 2pp vol bump for Vega. A light Gaussian smoothing (σ = 2 points) removes the residual node-crossing sawtooth, directly implementing the Q&amp;A guidance "more data points, appropriate scaling, economic explanation" for non-smooth Greek plots.</w:t>
      </w:r>
    </w:p>
    <w:p>
      <w:pPr>
        <w:pStyle w:val="Heading3"/>
      </w:pPr>
      <w:r>
        <w:t>Results at the reference point (S = 1,708, T = 1.79y, σ = 44.7% median rolling vol)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Greek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Value</w:t>
            </w:r>
          </w:p>
        </w:tc>
        <w:tc>
          <w:tcPr>
            <w:tcW w:type="dxa" w:w="6480"/>
          </w:tcPr>
          <w:p>
            <w:r/>
            <w:r>
              <w:rPr>
                <w:b/>
                <w:sz w:val="19"/>
              </w:rPr>
              <w:t>Economic reading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Price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1,452.87 EUR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Model value at the reference inputs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Delta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+0.60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Certificate moves ~0.60 EUR per 1 EUR stock move — between bond-like and stock-like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Gamma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−0.00043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Negative near the cap: the embedded short call flattens Delta as S rises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Vega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−14.37 per 1pp vol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NEGATIVE — the signature Greek of this product (see below)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Why negative Vega (two reinforcing channels):</w:t>
      </w:r>
      <w:r>
        <w:rPr>
          <w:b w:val="0"/>
        </w:rPr>
        <w:t xml:space="preserve"> (1) the capped forward is short a call at K = 2,000 — higher σ raises that call's value against the holder; (2) higher σ raises the probability of touching B = 1,050, destroying the bonus. Both point the same way: the holder wants LOW realised volatility.</w:t>
      </w:r>
    </w:p>
    <w:p>
      <w:pPr>
        <w:pStyle w:val="ListBullet"/>
      </w:pPr>
      <w:r>
        <w:rPr>
          <w:b/>
        </w:rPr>
        <w:t>Shape near the barrier:</w:t>
      </w:r>
      <w:r>
        <w:rPr>
          <w:b w:val="0"/>
        </w:rPr>
        <w:t xml:space="preserve"> Gamma spikes and Delta can exceed 1 as S approaches B — the knock-out probability reacts violently to spot there, making the value function highly convex. Near and above the cap all Greeks decay: the payoff is locked at €2,000 and the certificate behaves like a zero-coupon bond.</w:t>
      </w:r>
    </w:p>
    <w:p>
      <w:pPr>
        <w:pStyle w:val="Heading2"/>
      </w:pPr>
      <w:r>
        <w:t>4.5 Task VII — Replicating Portfolio</w:t>
      </w:r>
    </w:p>
    <w:p>
      <w:pPr>
        <w:pStyle w:val="Heading3"/>
      </w:pPr>
      <w:r>
        <w:t>What was asked</w:t>
      </w:r>
    </w:p>
    <w:p>
      <w:r>
        <w:rPr>
          <w:b w:val="0"/>
          <w:i w:val="0"/>
        </w:rPr>
        <w:t xml:space="preserve">For </w:t>
      </w:r>
      <w:r>
        <w:rPr>
          <w:b/>
          <w:i w:val="0"/>
        </w:rPr>
        <w:t>each day</w:t>
      </w:r>
      <w:r>
        <w:rPr>
          <w:b w:val="0"/>
          <w:i w:val="0"/>
        </w:rPr>
        <w:t xml:space="preserve"> of the observation window, determine the replicating portfolio (stock units + bond); additionally plot the </w:t>
      </w:r>
      <w:r>
        <w:rPr>
          <w:b/>
          <w:i w:val="0"/>
        </w:rPr>
        <w:t>equity fraction as a function of the underlying price at a fixed date</w:t>
      </w:r>
      <w:r>
        <w:rPr>
          <w:b w:val="0"/>
          <w:i w:val="0"/>
        </w:rPr>
        <w:t>, and interpret the behaviour in falling markets.</w:t>
      </w:r>
    </w:p>
    <w:p>
      <w:pPr>
        <w:pStyle w:val="Heading3"/>
      </w:pPr>
      <w:r>
        <w:t>Theory (Session 2, slides 26–29 and 57)</w:t>
      </w:r>
    </w:p>
    <w:p>
      <w:r>
        <w:rPr>
          <w:b w:val="0"/>
          <w:i w:val="0"/>
        </w:rPr>
        <w:t>Replication expresses the derivative as Δ units of stock plus a bond position. In the one-period model: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Δ = (C_u − C_d) / (S_u − S_d),      bond (credit) = 1/(1+r)^T · (Δ·S_d − C_d)</w:t>
      </w:r>
    </w:p>
    <w:p>
      <w:r>
        <w:rPr>
          <w:b w:val="0"/>
          <w:i w:val="0"/>
        </w:rPr>
        <w:t>In continuous Black-Scholes terms, a call = N(d₁) shares plus −N(d₂) zero bonds of face K. For the certificate the notebook takes Δ(t) from the tree (via the finite-difference Delta of Task VI) and backs out the bond leg from the identity: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V(t) = Δ(t)·S(t) + B(t)      ⇒      B(t) = V(t) − Δ(t)·S(t)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Equity fraction(t) = Δ(t)·S(t) / V(t)</w:t>
      </w:r>
    </w:p>
    <w:p>
      <w:r>
        <w:rPr>
          <w:b w:val="0"/>
          <w:i w:val="0"/>
        </w:rPr>
        <w:t xml:space="preserve">The equity fraction says what share of the certificate's value is effectively "stock". It can exceed 100%: near the barrier Δ → 1 while V falls, so the replicating book is long more than one share and </w:t>
      </w:r>
      <w:r>
        <w:rPr>
          <w:b/>
          <w:i w:val="0"/>
        </w:rPr>
        <w:t>short the bond</w:t>
      </w:r>
      <w:r>
        <w:rPr>
          <w:b w:val="0"/>
          <w:i w:val="0"/>
        </w:rPr>
        <w:t xml:space="preserve"> — mild leverage, exactly the hump shape shown in the lecture's S&amp;P 500 example.</w:t>
      </w:r>
    </w:p>
    <w:p>
      <w:pPr>
        <w:pStyle w:val="Heading3"/>
      </w:pPr>
      <w:r>
        <w:t>What the two plots show (executed results)</w:t>
      </w:r>
    </w:p>
    <w:p>
      <w:pPr>
        <w:pStyle w:val="ListBullet"/>
      </w:pPr>
      <w:r>
        <w:rPr>
          <w:b/>
        </w:rPr>
        <w:t>Time series (replicating_portfolio_time.png):</w:t>
      </w:r>
      <w:r>
        <w:rPr>
          <w:b w:val="0"/>
        </w:rPr>
        <w:t xml:space="preserve"> over Sep 2025 – Jun 2026 Rheinmetall fell from ~€1,708 toward the barrier zone. Delta started ~0.25 (deep in the bonus zone: mildly-sensitive, mostly bond-financed) and climbed to ~0.9–1.0 by May 2026 — full range [0.14, 1.07]. The equity fraction rose from ~20–40% to a peak of </w:t>
      </w:r>
      <w:r>
        <w:rPr>
          <w:b/>
        </w:rPr>
        <w:t>112%</w:t>
      </w:r>
      <w:r>
        <w:rPr>
          <w:b w:val="0"/>
        </w:rPr>
        <w:t xml:space="preserve"> (range 16.4%–112%; above 50% on 143 of 183 days).</w:t>
      </w:r>
    </w:p>
    <w:p>
      <w:pPr>
        <w:pStyle w:val="ListBullet"/>
      </w:pPr>
      <w:r>
        <w:rPr>
          <w:b/>
        </w:rPr>
        <w:t>Static snapshot (equity_fraction_vs_S.png):</w:t>
      </w:r>
      <w:r>
        <w:rPr>
          <w:b w:val="0"/>
        </w:rPr>
        <w:t xml:space="preserve"> sweeping S at fixed T_rem ≈ 1.79y and median vol, the fraction peaks sharply just above B = 1,050, declines through the bonus zone, and → 0 for very high S (certificate ≈ bond paying €2,000). Below B the certificate has knocked out and is modelled as a capped forward, whose equity fraction rises steeply as S falls — full downside, no floor.</w:t>
      </w:r>
    </w:p>
    <w:p>
      <w:pPr>
        <w:pStyle w:val="Heading3"/>
      </w:pPr>
      <w:r>
        <w:t>The falling-market interpretation (the graded punchline)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capital-protected</w:t>
      </w:r>
      <w:r>
        <w:rPr>
          <w:b w:val="0"/>
          <w:i w:val="0"/>
        </w:rPr>
        <w:t xml:space="preserve"> note de-risks itself in a crash (Δ → 0). A </w:t>
      </w:r>
      <w:r>
        <w:rPr>
          <w:b/>
          <w:i w:val="0"/>
        </w:rPr>
        <w:t>bonus certificate does the opposite</w:t>
      </w:r>
      <w:r>
        <w:rPr>
          <w:b w:val="0"/>
          <w:i w:val="0"/>
        </w:rPr>
        <w:t>: as S falls toward the barrier, Δ rises toward 1 and the holder ends up with near-total stock exposure at exactly the worst moment — and one barrier touch converts the product permanently into a capped forward with full downside. The replication analysis makes this hidden exposure quantitative and is the reason a holder must act well before the barrier is reached.</w:t>
      </w:r>
    </w:p>
    <w:p>
      <w:pPr>
        <w:pStyle w:val="Heading1"/>
      </w:pPr>
      <w:r>
        <w:t>5. PART 3 — Portfolio Insurance Strategy (Tasks VIII–XI)</w:t>
      </w:r>
    </w:p>
    <w:p>
      <w:pPr>
        <w:pStyle w:val="Heading2"/>
      </w:pPr>
      <w:r>
        <w:t>5.1 Common machinery: Monte-Carlo GBM simulation</w:t>
      </w:r>
    </w:p>
    <w:p>
      <w:r>
        <w:rPr>
          <w:b w:val="0"/>
          <w:i w:val="0"/>
        </w:rPr>
        <w:t xml:space="preserve">Setup fixed by the brief: initial capital </w:t>
      </w:r>
      <w:r>
        <w:rPr>
          <w:b/>
          <w:i w:val="0"/>
        </w:rPr>
        <w:t>EUR 10,000</w:t>
      </w:r>
      <w:r>
        <w:rPr>
          <w:b w:val="0"/>
          <w:i w:val="0"/>
        </w:rPr>
        <w:t xml:space="preserve">, horizon </w:t>
      </w:r>
      <w:r>
        <w:rPr>
          <w:b/>
          <w:i w:val="0"/>
        </w:rPr>
        <w:t>T* = 1 year</w:t>
      </w:r>
      <w:r>
        <w:rPr>
          <w:b w:val="0"/>
          <w:i w:val="0"/>
        </w:rPr>
        <w:t xml:space="preserve">, insurance instrument = </w:t>
      </w:r>
      <w:r>
        <w:rPr>
          <w:b/>
          <w:i w:val="0"/>
        </w:rPr>
        <w:t>put options</w:t>
      </w:r>
      <w:r>
        <w:rPr>
          <w:b w:val="0"/>
          <w:i w:val="0"/>
        </w:rPr>
        <w:t>. The stock follows Geometric Brownian Motion, dS = μS dt + σS dW, simulated at daily frequency by exact discretisation of the log-price (Session 3, slide 145):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ln S₍ᵢ₊₁₎Δt = ln SᵢΔt + (μ − ½σ²)·Δt + zᵢ₊₁·σ·√Δt,   z ~ N(0,1)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/>
            <w:r>
              <w:rPr>
                <w:b/>
                <w:sz w:val="19"/>
              </w:rPr>
              <w:t>Parameter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Value</w:t>
            </w:r>
          </w:p>
        </w:tc>
        <w:tc>
          <w:tcPr>
            <w:tcW w:type="dxa" w:w="5904"/>
          </w:tcPr>
          <w:p>
            <w:r/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S₀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EUR 1,207.00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Last cached close, 01 Jun 2026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μ (physical drift)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54.05% p.a.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Annualised mean of daily log-returns 2023–2026 — see caveat below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σ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45.57% p.a.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252-day trailing historical vol; also the put-pricing vol per the brief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r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3.07%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10y Svensson benchmark (RISK_FREE)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Paths × steps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50,000 × 252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Seed fixed at 2026 → fully reproducible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q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0.95%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Enters the put pricing (risk-neutral drift r − q)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Physical vs. risk-neutral drift — the conceptual heart of Part 3:</w:t>
      </w:r>
      <w:r>
        <w:rPr>
          <w:b w:val="0"/>
        </w:rPr>
        <w:t xml:space="preserve"> real-world return distributions (Tasks VIII–XI) are simulated under the </w:t>
      </w:r>
      <w:r>
        <w:rPr>
          <w:b/>
        </w:rPr>
        <w:t>physical</w:t>
      </w:r>
      <w:r>
        <w:rPr>
          <w:b w:val="0"/>
        </w:rPr>
        <w:t xml:space="preserve"> drift μ; option </w:t>
      </w:r>
      <w:r>
        <w:rPr>
          <w:b/>
        </w:rPr>
        <w:t>prices</w:t>
      </w:r>
      <w:r>
        <w:rPr>
          <w:b w:val="0"/>
        </w:rPr>
        <w:t xml:space="preserve"> always use the </w:t>
      </w:r>
      <w:r>
        <w:rPr>
          <w:b/>
        </w:rPr>
        <w:t>risk-neutral</w:t>
      </w:r>
      <w:r>
        <w:rPr>
          <w:b w:val="0"/>
        </w:rPr>
        <w:t xml:space="preserve"> drift r − q inside Black-Scholes. Mixing them up is the classic error the session notes warn about ("Drift parameter → risk-neutral measure!" for pricing).</w:t>
      </w:r>
    </w:p>
    <w:p>
      <w:pPr>
        <w:pStyle w:val="ListBullet"/>
      </w:pPr>
      <w:r>
        <w:rPr>
          <w:b/>
        </w:rPr>
        <w:t>Drift caveat stated in the notebook:</w:t>
      </w:r>
      <w:r>
        <w:rPr>
          <w:b w:val="0"/>
        </w:rPr>
        <w:t xml:space="preserve"> μ = 54% reflects Rheinmetall's exceptional 2022–26 defence re-rating and is not a long-run forecast (a conventional ERP would be ~6–9% over r). All Part 3 conclusions are conditional on that regime; several signs (e.g. how VaR responds to more insurance) would flip under a normal drift. Stating this explicitly is part of the "reasonable parameter choice" grading criterion.</w:t>
      </w:r>
    </w:p>
    <w:p>
      <w:pPr>
        <w:pStyle w:val="ListBullet"/>
      </w:pPr>
      <w:r>
        <w:rPr>
          <w:b/>
        </w:rPr>
        <w:t>One shared path set</w:t>
      </w:r>
      <w:r>
        <w:rPr>
          <w:b w:val="0"/>
        </w:rPr>
        <w:t xml:space="preserve"> for all of Tasks VIII–XI: differences between strategies are then purely strategy effects, never Monte-Carlo noise.</w:t>
      </w:r>
    </w:p>
    <w:p>
      <w:pPr>
        <w:pStyle w:val="ListBullet"/>
      </w:pPr>
      <w:r>
        <w:rPr>
          <w:b/>
        </w:rPr>
        <w:t>Why no −½σ² correction in the notebook's step:</w:t>
      </w:r>
      <w:r>
        <w:rPr>
          <w:b w:val="0"/>
        </w:rPr>
        <w:t xml:space="preserve"> the drift is estimated as the mean of *log* returns, so it already is the drift of ln S; adding the usual −½σ² would double-count. (The −½σ² form applies when μ is an arithmetic/expected-price drift, as in risk-neutral pricing where E[S_T] = S₀·e^(rT) must hold.)</w:t>
      </w:r>
    </w:p>
    <w:p>
      <w:pPr>
        <w:pStyle w:val="Heading2"/>
      </w:pPr>
      <w:r>
        <w:t>5.2 Task VIII — Performance Without Risk Management</w:t>
      </w:r>
    </w:p>
    <w:p>
      <w:pPr>
        <w:pStyle w:val="Heading3"/>
      </w:pPr>
      <w:r>
        <w:t>What was asked</w:t>
      </w:r>
    </w:p>
    <w:p>
      <w:r>
        <w:rPr>
          <w:b w:val="0"/>
          <w:i w:val="0"/>
        </w:rPr>
        <w:t xml:space="preserve">Simulate the 1-year payoff distribution of EUR 10,000 fully invested in the stock; report meaningful performance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risk measures (the session notes explicitly name performance, risk, and "descriptive measures" like skewness and kurtosis) and explain them.</w:t>
      </w:r>
    </w:p>
    <w:p>
      <w:pPr>
        <w:pStyle w:val="Heading3"/>
      </w:pPr>
      <w:r>
        <w:t>The measures (definitions used by performance_stats)</w:t>
      </w:r>
    </w:p>
    <w:p>
      <w:pPr>
        <w:pStyle w:val="ListBullet"/>
      </w:pPr>
      <w:r>
        <w:rPr>
          <w:b/>
        </w:rPr>
        <w:t>Mean / median / std of log-returns</w:t>
      </w:r>
      <w:r>
        <w:rPr>
          <w:b w:val="0"/>
        </w:rPr>
        <w:t xml:space="preserve"> ln(S_T/S₀) — location and dispersion.</w:t>
      </w:r>
    </w:p>
    <w:p>
      <w:pPr>
        <w:pStyle w:val="ListBullet"/>
      </w:pPr>
      <w:r>
        <w:rPr>
          <w:b/>
        </w:rPr>
        <w:t>Skewness</w:t>
      </w:r>
      <w:r>
        <w:rPr>
          <w:b w:val="0"/>
        </w:rPr>
        <w:t xml:space="preserve"> — asymmetry of the distribution (0 for a normal); </w:t>
      </w:r>
      <w:r>
        <w:rPr>
          <w:b/>
        </w:rPr>
        <w:t>excess kurtosis</w:t>
      </w:r>
      <w:r>
        <w:rPr>
          <w:b w:val="0"/>
        </w:rPr>
        <w:t xml:space="preserve"> — tail heaviness beyond the normal (0 for a normal).</w:t>
      </w:r>
    </w:p>
    <w:p>
      <w:pPr>
        <w:pStyle w:val="ListBullet"/>
      </w:pPr>
      <w:r>
        <w:rPr>
          <w:b/>
        </w:rPr>
        <w:t>Sharpe ratio</w:t>
      </w:r>
      <w:r>
        <w:rPr>
          <w:b w:val="0"/>
        </w:rPr>
        <w:t xml:space="preserve"> = (mean − r)/std — return per unit of total risk.</w:t>
      </w:r>
    </w:p>
    <w:p>
      <w:pPr>
        <w:pStyle w:val="ListBullet"/>
      </w:pPr>
      <w:r>
        <w:rPr>
          <w:b/>
        </w:rPr>
        <w:t>95% VaR</w:t>
      </w:r>
      <w:r>
        <w:rPr>
          <w:b w:val="0"/>
        </w:rPr>
        <w:t xml:space="preserve"> = −(5th percentile of simulated returns): the loss that is not exceeded with 95% confidence over the year. </w:t>
      </w:r>
      <w:r>
        <w:rPr>
          <w:b/>
        </w:rPr>
        <w:t>95% CVaR</w:t>
      </w:r>
      <w:r>
        <w:rPr>
          <w:b w:val="0"/>
        </w:rPr>
        <w:t xml:space="preserve"> = −mean of returns at or below that quantile: the expected loss *given* the tail is hit — always ≥ VaR and more informative about tail shape.</w:t>
      </w:r>
    </w:p>
    <w:p>
      <w:pPr>
        <w:pStyle w:val="ListBullet"/>
      </w:pPr>
      <w:r>
        <w:rPr>
          <w:b/>
        </w:rPr>
        <w:t>P(loss)</w:t>
      </w:r>
      <w:r>
        <w:rPr>
          <w:b w:val="0"/>
        </w:rPr>
        <w:t xml:space="preserve"> = share of paths ending below the initial wealth.</w:t>
      </w:r>
    </w:p>
    <w:p>
      <w:pPr>
        <w:pStyle w:val="Heading3"/>
      </w:pPr>
      <w:r>
        <w:t>Executed results — the unhedged baseline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Measure</w:t>
            </w:r>
          </w:p>
        </w:tc>
        <w:tc>
          <w:tcPr>
            <w:tcW w:type="dxa" w:w="5760"/>
          </w:tcPr>
          <w:p>
            <w:r/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Mean / median return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54.03% / 54.18%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Std deviation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45.61%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Skewness / excess kurtosis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0.007 / 0.048  (log-returns ≈ normal, by construction of GBM)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Sharpe ratio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1.117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95% VaR / 95% CVaR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20.64% / 40.14%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P(loss)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11.7%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Reading: the enormous historical drift makes the average outcome spectacular, but the tail is fat in euro terms — one year in twenty loses more than a fifth of the capital, and conditional on landing there the average loss is 40%. This baseline VaR of </w:t>
      </w:r>
      <w:r>
        <w:rPr>
          <w:b/>
          <w:i w:val="0"/>
        </w:rPr>
        <w:t>20.6% &gt; 15%</w:t>
      </w:r>
      <w:r>
        <w:rPr>
          <w:b w:val="0"/>
          <w:i w:val="0"/>
        </w:rPr>
        <w:t xml:space="preserve"> is what forces genuine hedging decisions in Tasks IX–XI. Log-returns under GBM are normal, so skew/kurtosis ≈ 0 here — they become interesting once the put overlay deforms the distribution.</w:t>
      </w:r>
    </w:p>
    <w:p>
      <w:pPr>
        <w:pStyle w:val="Heading2"/>
      </w:pPr>
      <w:r>
        <w:t>5.3 Task IX — Portfolio Insurance with Put Options</w:t>
      </w:r>
    </w:p>
    <w:p>
      <w:pPr>
        <w:pStyle w:val="Heading3"/>
      </w:pPr>
      <w:r>
        <w:t>What was asked</w:t>
      </w:r>
    </w:p>
    <w:p>
      <w:r>
        <w:rPr>
          <w:b w:val="0"/>
          <w:i w:val="0"/>
        </w:rPr>
        <w:t xml:space="preserve">Add put options to hedge the downside; analyse how (i) the </w:t>
      </w:r>
      <w:r>
        <w:rPr>
          <w:b/>
          <w:i w:val="0"/>
        </w:rPr>
        <w:t>fraction α of initial wealth</w:t>
      </w:r>
      <w:r>
        <w:rPr>
          <w:b w:val="0"/>
          <w:i w:val="0"/>
        </w:rPr>
        <w:t xml:space="preserve"> spent on puts and (ii) the </w:t>
      </w:r>
      <w:r>
        <w:rPr>
          <w:b/>
          <w:i w:val="0"/>
        </w:rPr>
        <w:t>put strike K</w:t>
      </w:r>
      <w:r>
        <w:rPr>
          <w:b w:val="0"/>
          <w:i w:val="0"/>
        </w:rPr>
        <w:t xml:space="preserve"> affect performance and risk. The puts are </w:t>
      </w:r>
      <w:r>
        <w:rPr>
          <w:b/>
          <w:i w:val="0"/>
        </w:rPr>
        <w:t>fictitious</w:t>
      </w:r>
      <w:r>
        <w:rPr>
          <w:b w:val="0"/>
          <w:i w:val="0"/>
        </w:rPr>
        <w:t xml:space="preserve"> and must be priced at the </w:t>
      </w:r>
      <w:r>
        <w:rPr>
          <w:b/>
          <w:i w:val="0"/>
        </w:rPr>
        <w:t>historical volatility</w:t>
      </w:r>
      <w:r>
        <w:rPr>
          <w:b w:val="0"/>
          <w:i w:val="0"/>
        </w:rPr>
        <w:t xml:space="preserve"> of the underlying (Session 3, Task 9/10 slide).</w:t>
      </w:r>
    </w:p>
    <w:p>
      <w:pPr>
        <w:pStyle w:val="Heading3"/>
      </w:pPr>
      <w:r>
        <w:t>Mechanics of insured_return</w:t>
      </w:r>
    </w:p>
    <w:p>
      <w:pPr>
        <w:pStyle w:val="ListBullet"/>
      </w:pPr>
      <w:r>
        <w:rPr>
          <w:b w:val="0"/>
        </w:rPr>
        <w:t>Put premium P₀ = Black-Scholes put(S₀, K, r, q, σ_hist = 45.57%, T = 1).</w:t>
      </w:r>
    </w:p>
    <w:p>
      <w:pPr>
        <w:pStyle w:val="ListBullet"/>
      </w:pPr>
      <w:r>
        <w:rPr>
          <w:b w:val="0"/>
        </w:rPr>
        <w:t>n_puts = α·W₀ / P₀ bought; n_shares = (1−α)·W₀ / S₀ into the stock.</w:t>
      </w:r>
    </w:p>
    <w:p>
      <w:pPr>
        <w:pStyle w:val="ListBullet"/>
      </w:pPr>
      <w:r>
        <w:rPr>
          <w:b w:val="0"/>
        </w:rPr>
        <w:t>Terminal wealth W_T = n_puts·max(K − S_T, 0) + n_shares·S_T evaluated on all 50,000 paths; returns are ln(W_T/W₀).</w:t>
      </w:r>
    </w:p>
    <w:p>
      <w:pPr>
        <w:pStyle w:val="ListBullet"/>
      </w:pPr>
      <w:r>
        <w:rPr>
          <w:b w:val="0"/>
        </w:rPr>
        <w:t>Grid: α ∈ {5, 10, 15, 20%} × K ∈ {90, 95, 100, 105% of S₀} — 16 combinations spanning the retail-realistic range (grid choice anchored to Rubinstein &amp; Leland 1981 / Leland 1985).</w:t>
      </w:r>
    </w:p>
    <w:p>
      <w:pPr>
        <w:pStyle w:val="Heading3"/>
      </w:pPr>
      <w:r>
        <w:t>Executed results (key rows of the 4×4 grid)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584"/>
          </w:tcPr>
          <w:p>
            <w:r/>
            <w:r>
              <w:rPr>
                <w:b/>
                <w:sz w:val="19"/>
              </w:rPr>
              <w:t>α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K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Mean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Std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Sharpe</w:t>
            </w:r>
          </w:p>
        </w:tc>
        <w:tc>
          <w:tcPr>
            <w:tcW w:type="dxa" w:w="1368"/>
          </w:tcPr>
          <w:p>
            <w:r/>
            <w:r>
              <w:rPr>
                <w:b/>
                <w:sz w:val="19"/>
              </w:rPr>
              <w:t>95% VaR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95% CVaR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P(loss)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0% (unhedged)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54.0%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45.6%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1.117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20.6%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40.1%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11.7%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5%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105%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49.9%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43.7%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1.073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18.2%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30.7%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14.1%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10%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95%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45.2%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42.4%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0.994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18.7%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21.7%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17.0%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15%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105%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40.8%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40.6%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0.929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13.6%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14.8%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20.4%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20%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105%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35.7%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39.3%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0.829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15.1%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16.3%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24.4%</w:t>
            </w:r>
          </w:p>
        </w:tc>
      </w:tr>
    </w:tbl>
    <w:p>
      <w:pPr>
        <w:spacing w:after="40"/>
      </w:pPr>
    </w:p>
    <w:p>
      <w:pPr>
        <w:pStyle w:val="Heading3"/>
      </w:pPr>
      <w:r>
        <w:t>The three patterns to understand (and defend)</w:t>
      </w:r>
    </w:p>
    <w:p>
      <w:pPr>
        <w:pStyle w:val="ListBullet"/>
      </w:pPr>
      <w:r>
        <w:rPr>
          <w:b/>
        </w:rPr>
        <w:t>VaR is U-shaped in α:</w:t>
      </w:r>
      <w:r>
        <w:rPr>
          <w:b w:val="0"/>
        </w:rPr>
        <w:t xml:space="preserve"> a moderate put sleeve cuts the 5th-percentile loss (puts pay exactly in the states that define VaR), minimum around α ≈ 10–15%; beyond that the certain premium outweighs the uncertain payoff and VaR *rises again* (see α = 20% row). The optimum is interior.</w:t>
      </w:r>
    </w:p>
    <w:p>
      <w:pPr>
        <w:pStyle w:val="ListBullet"/>
      </w:pPr>
      <w:r>
        <w:rPr>
          <w:b/>
        </w:rPr>
        <w:t>Higher strikes cut VaR more per euro:</w:t>
      </w:r>
      <w:r>
        <w:rPr>
          <w:b w:val="0"/>
        </w:rPr>
        <w:t xml:space="preserve"> a 105% (slightly ITM) put is the only one paying meaningfully at the 5th-percentile outcome of this high-drift distribution; 90% OTM puts barely move the tail. Lowest cell: VaR 13.6% at (α = 15%, K = 105%).</w:t>
      </w:r>
    </w:p>
    <w:p>
      <w:pPr>
        <w:pStyle w:val="ListBullet"/>
      </w:pPr>
      <w:r>
        <w:rPr>
          <w:b/>
        </w:rPr>
        <w:t>Mean return falls monotonically in α</w:t>
      </w:r>
      <w:r>
        <w:rPr>
          <w:b w:val="0"/>
        </w:rPr>
        <w:t xml:space="preserve"> — premium drag — while CVaR and skewness improve: the overlay buys a *shape* change (truncated left tail, positive skew), paying with expected return. This is the classic lecture result: put fraction up ⇒ mean and vol down, skew up, VaR/CVaR sharply down.</w:t>
      </w:r>
    </w:p>
    <w:p>
      <w:pPr>
        <w:pStyle w:val="Heading2"/>
      </w:pPr>
      <w:r>
        <w:t>5.4 Task X — Stress Scenario Analysis</w:t>
      </w:r>
    </w:p>
    <w:p>
      <w:pPr>
        <w:pStyle w:val="Heading3"/>
      </w:pPr>
      <w:r>
        <w:t>What was asked</w:t>
      </w:r>
    </w:p>
    <w:p>
      <w:r>
        <w:rPr>
          <w:b w:val="0"/>
          <w:i w:val="0"/>
        </w:rPr>
        <w:t xml:space="preserve">For one specific Task IX allocation, re-price the puts with pricing volatility = historical σ ± 5pp, and/or impose a sudden −20% drop in the underlying after half a year; recompute all measures and discuss. The session notes stress that the ±5pp applies to the </w:t>
      </w:r>
      <w:r>
        <w:rPr>
          <w:b/>
          <w:i w:val="0"/>
        </w:rPr>
        <w:t>pricing vol of the puts</w:t>
      </w:r>
      <w:r>
        <w:rPr>
          <w:b w:val="0"/>
          <w:i w:val="0"/>
        </w:rPr>
        <w:t xml:space="preserve"> (put prices are based on the historical vol of the underlying).</w:t>
      </w:r>
    </w:p>
    <w:p>
      <w:pPr>
        <w:pStyle w:val="Heading3"/>
      </w:pPr>
      <w:r>
        <w:t>Design</w:t>
      </w:r>
    </w:p>
    <w:p>
      <w:pPr>
        <w:pStyle w:val="ListBullet"/>
      </w:pPr>
      <w:r>
        <w:rPr>
          <w:b w:val="0"/>
        </w:rPr>
        <w:t xml:space="preserve">Chosen allocation: </w:t>
      </w:r>
      <w:r>
        <w:rPr>
          <w:b/>
        </w:rPr>
        <w:t>α = 10%, K = 95%·S₀</w:t>
      </w:r>
      <w:r>
        <w:rPr>
          <w:b w:val="0"/>
        </w:rPr>
        <w:t xml:space="preserve"> (a middle-of-the-grid, realistic retail choice).</w:t>
      </w:r>
    </w:p>
    <w:p>
      <w:pPr>
        <w:pStyle w:val="ListBullet"/>
      </w:pPr>
      <w:r>
        <w:rPr>
          <w:b w:val="0"/>
        </w:rPr>
        <w:t>Vol scenarios: σ_pricing = 45.57% ± 5pp — magnitude consistent with the FRTB/Basel vega stress convention; changes both the premium paid and (in the same run) the simulated dispersion.</w:t>
      </w:r>
    </w:p>
    <w:p>
      <w:pPr>
        <w:pStyle w:val="ListBullet"/>
      </w:pPr>
      <w:r>
        <w:rPr>
          <w:b w:val="0"/>
        </w:rPr>
        <w:t>Crash scenario: all paths multiplied by 0.80 from step 126 (T/2) onward — a permanent −20% level shock in the spirit of the PRIIPs adverse scenario.</w:t>
      </w:r>
    </w:p>
    <w:p>
      <w:pPr>
        <w:pStyle w:val="ListBullet"/>
      </w:pPr>
      <w:r>
        <w:rPr>
          <w:b w:val="0"/>
        </w:rPr>
        <w:t>Combined scenario: crash AND vol +5pp together — the jointly adverse "and" case of the task's "and/or" wording.</w:t>
      </w:r>
    </w:p>
    <w:p>
      <w:pPr>
        <w:pStyle w:val="Heading3"/>
      </w:pPr>
      <w:r>
        <w:t>Executed results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Mean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95% VaR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95% CVaR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P(loss)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Baseline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45.21%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18.66%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21.73%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17.0%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Pricing vol +5pp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45.03%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20.03%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24.60%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17.0%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Pricing vol −5pp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45.42%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16.90%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18.13%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17.0%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−20% shock at T/2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25.63%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22.35%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24.89%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32.2%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Shock AND vol +5pp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25.19%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25.50%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29.33%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32.2%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Interpretation:</w:t>
      </w:r>
      <w:r>
        <w:rPr>
          <w:b w:val="0"/>
          <w:i w:val="0"/>
        </w:rPr>
        <w:t xml:space="preserve"> the two stress families hit *different* channels. Vol mis-estimation works through the premium/tail-width channel (±5pp moves VaR by ±1.4–1.7pp, mean almost unchanged); the crash works through realised returns (mean −20pp, P(loss) nearly doubles to 32%), against which a 95%-strike put holding only 10% of wealth offers partial protection at best. The combined case is strictly the worst (VaR 25.5%) — the scenario a risk manager should size against. Note the baseline VaR of 18.7% already exceeds the coming 15% limit: this allocation is *not* Task XI-compliant, which motivates the search in the final task.</w:t>
      </w:r>
    </w:p>
    <w:p>
      <w:pPr>
        <w:pStyle w:val="Heading2"/>
      </w:pPr>
      <w:r>
        <w:t>5.5 Task XI — Capital Requirement (VaR-Constrained Allocation)</w:t>
      </w:r>
    </w:p>
    <w:p>
      <w:pPr>
        <w:pStyle w:val="Heading3"/>
      </w:pPr>
      <w:r>
        <w:t>What was asked</w:t>
      </w:r>
    </w:p>
    <w:p>
      <w:r>
        <w:rPr>
          <w:b w:val="0"/>
          <w:i w:val="0"/>
        </w:rPr>
        <w:t xml:space="preserve">A binding regulatory constraint: the </w:t>
      </w:r>
      <w:r>
        <w:rPr>
          <w:b/>
          <w:i w:val="0"/>
        </w:rPr>
        <w:t>95% one-year VaR may not exceed 15%</w:t>
      </w:r>
      <w:r>
        <w:rPr>
          <w:b w:val="0"/>
          <w:i w:val="0"/>
        </w:rPr>
        <w:t xml:space="preserve">. Describe the (optimal) allocation that </w:t>
      </w:r>
      <w:r>
        <w:rPr>
          <w:b/>
          <w:i w:val="0"/>
        </w:rPr>
        <w:t>fully utilises</w:t>
      </w:r>
      <w:r>
        <w:rPr>
          <w:b w:val="0"/>
          <w:i w:val="0"/>
        </w:rPr>
        <w:t xml:space="preserve"> the constraint. Session notes clarifications: the requirement must bind; there are multiple valid ways to construct the portfolio; the full EUR 10,000 need not be invested; use a seed.</w:t>
      </w:r>
    </w:p>
    <w:p>
      <w:pPr>
        <w:pStyle w:val="Heading3"/>
      </w:pPr>
      <w:r>
        <w:t>Methodology</w:t>
      </w:r>
    </w:p>
    <w:p>
      <w:pPr>
        <w:pStyle w:val="ListBullet"/>
      </w:pPr>
      <w:r>
        <w:rPr>
          <w:b w:val="0"/>
        </w:rPr>
        <w:t xml:space="preserve">At σ = 45.57% the </w:t>
      </w:r>
      <w:r>
        <w:rPr>
          <w:b/>
        </w:rPr>
        <w:t>unhedged VaR is 20.64% — already above the ceiling</w:t>
      </w:r>
      <w:r>
        <w:rPr>
          <w:b w:val="0"/>
        </w:rPr>
        <w:t>, so unlike a low-vol world (where one would scale a compliant stock position UP to the limit) the investor here must genuinely hedge. Both Task IX levers — α and K — are searched.</w:t>
      </w:r>
    </w:p>
    <w:p>
      <w:pPr>
        <w:pStyle w:val="ListBullet"/>
      </w:pPr>
      <w:r>
        <w:rPr>
          <w:b w:val="0"/>
        </w:rPr>
        <w:t>For each strike K ∈ {90, 95, 100, 105%}, VaR(α) is evaluated on a fine α-grid (0–50%, step 0.1%); the smallest α reaching the target is recorded, and among compliant (α, K) pairs the one with the highest expected return is chosen. (Monotonicity of VaR in α over the relevant range is verified first — the precondition for treating this as a clean root-finding problem, per the brentq/root-finder approach suggested in the instructions.)</w:t>
      </w:r>
    </w:p>
    <w:p>
      <w:pPr>
        <w:pStyle w:val="ListBullet"/>
      </w:pPr>
      <w:r>
        <w:rPr>
          <w:b/>
        </w:rPr>
        <w:t>Prudential buffer:</w:t>
      </w:r>
      <w:r>
        <w:rPr>
          <w:b w:val="0"/>
        </w:rPr>
        <w:t xml:space="preserve"> the VaR estimate from 50,000 paths carries ~0.1pp sampling noise; an allocation sitting exactly on 15% breaches the limit in ~45% of re-seeded runs. The notebook therefore targets 15% − 0.5pp = </w:t>
      </w:r>
      <w:r>
        <w:rPr>
          <w:b/>
        </w:rPr>
        <w:t>14.5%</w:t>
      </w:r>
      <w:r>
        <w:rPr>
          <w:b w:val="0"/>
        </w:rPr>
        <w:t>, reporting the knife-edge point too. "Fully utilise" is thus implemented as: as close to the ceiling as robust compliance allows.</w:t>
      </w:r>
    </w:p>
    <w:p>
      <w:pPr>
        <w:pStyle w:val="Heading3"/>
      </w:pPr>
      <w:r>
        <w:t>Executed results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40"/>
          </w:tcPr>
          <w:p>
            <w:r/>
            <w:r>
              <w:rPr>
                <w:b/>
                <w:sz w:val="19"/>
              </w:rPr>
              <w:t>Strike K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9"/>
              </w:rPr>
              <w:t>α reaching 15% (edge)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α reaching 14.5% (safe)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VaR at safe α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E[return]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90%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infeasible (VaR floors at 20.5%)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infeasible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95%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infeasible (floors at 18.1%)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infeasible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100%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infeasible (floors at 15.4%)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infeasible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105%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11.90%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13.00%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14.48%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42.70%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Optimal allocation: K* = 105% of S₀ (EUR 1,267), α* = 13% → EUR 1,300 in slightly-ITM 1-year puts + EUR 8,700 in the stock.</w:t>
      </w:r>
      <w:r>
        <w:rPr>
          <w:b w:val="0"/>
          <w:i w:val="0"/>
        </w:rPr>
        <w:t xml:space="preserve"> Resulting 95% VaR = 14.48% (≈0.5pp cushion under the ceiling, robust across seeds), expected return 42.70%, Sharpe 0.964. OTM and ATM puts can never reach the ceiling at any allocation — they pay too little at the 5th-percentile outcome — which is why the slightly-ITM strike is the only feasible instrument. The buffer costs ~1pp of expected return vs. the knife-edge — cheap insurance against sampling noise. More hedging than α* would be compliant but strictly return-inferior (and eventually raises VaR again via premium drag): the constraint binds, and every remaining euro of risk budget is spent on expected return.</w:t>
      </w:r>
    </w:p>
    <w:p>
      <w:r>
        <w:rPr>
          <w:b/>
          <w:i w:val="0"/>
        </w:rPr>
        <w:t>Sensitivity worth mentioning:</w:t>
      </w:r>
      <w:r>
        <w:rPr>
          <w:b w:val="0"/>
          <w:i w:val="0"/>
        </w:rPr>
        <w:t xml:space="preserve"> on the full-sample vol (39.9%) the naked stock is already compliant (VaR ≈ 11%) and the exercise would instead scale exposure up to the limit. The notebook deliberately reports the recent-regime (45.6%) version because it forces a real hedging decision — the more conservative and more instructive reading.</w:t>
      </w:r>
    </w:p>
    <w:p>
      <w:pPr>
        <w:pStyle w:val="Heading1"/>
      </w:pPr>
      <w:r>
        <w:t>6. Formula Bank (everything in one place)</w:t>
      </w:r>
    </w:p>
    <w:p>
      <w:pPr>
        <w:pStyle w:val="Heading3"/>
      </w:pPr>
      <w:r>
        <w:t>Returns and volatility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rₜ = ln(Sₜ/Sₜ₋₁);    σ̂ = √252 · std(r);    rolling: std over last 30 (or 252) returns</w:t>
      </w:r>
    </w:p>
    <w:p>
      <w:pPr>
        <w:pStyle w:val="Heading3"/>
      </w:pPr>
      <w:r>
        <w:t>Black-Scholes (with dividend yield q)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C = S₀e^(−qT)N(d₁) − Ke^(−rT)N(d₂);    P = Ke^(−rT)N(−d₂) − S₀e^(−qT)N(−d₁)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d₁,₂ = [ln(S₀/K) + (r − q ± ½σ²)T] / (σ√T);    put-call parity: C − P = S₀e^(−qT) − Ke^(−rT)</w:t>
      </w:r>
    </w:p>
    <w:p>
      <w:pPr>
        <w:pStyle w:val="Heading3"/>
      </w:pPr>
      <w:r>
        <w:t>One-period replication (Session 2, slide 29)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Δ = (C_u − C_d)/(S_u − S_d);    C₀ = Δ·S₀ − 1/(1+r)^T · (Δ·S_d − C_d)</w:t>
      </w:r>
    </w:p>
    <w:p>
      <w:pPr>
        <w:pStyle w:val="Heading3"/>
      </w:pPr>
      <w:r>
        <w:t>CRR binomial tree (with dividend yield θ)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Δt = T/N;   u = e^(σ√Δt);   d = 1/u;   q = (e^((r−θ)Δt) − d)/(u − d)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S(n,j) = S₀·uʲ·d^(n−j);    V(n,j) = e^(−rΔt)[q·V(n+1,j+1) + (1−q)·V(n+1,j)]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Barrier: V_DO(n,j) = 0 wherever S(n,j) ≤ B (checked at every step)</w:t>
      </w:r>
    </w:p>
    <w:p>
      <w:pPr>
        <w:pStyle w:val="Heading3"/>
      </w:pPr>
      <w:r>
        <w:t>Greeks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Analytic: Δ_call = N(d₁);  Γ = N′(d₁)/(Sσ√T);  Vega = S·N′(d₁)·√T;  N′(x) = e^(−x²/2)/√(2π)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Numerical: Δ ≈ [V(S+h)−V(S−h)]/2h;  Γ ≈ [V(S+h)−2V(S)+V(S−h)]/h²;  Vega ≈ [V(σ+h)−V(σ−h)]/2h</w:t>
      </w:r>
    </w:p>
    <w:p>
      <w:pPr>
        <w:pStyle w:val="Heading3"/>
      </w:pPr>
      <w:r>
        <w:t>Replicating portfolio / equity fraction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B(t) = V(t) − Δ(t)S(t);    Equity fraction = Δ(t)·S(t)/V(t)</w:t>
      </w:r>
    </w:p>
    <w:p>
      <w:pPr>
        <w:pStyle w:val="Heading3"/>
      </w:pPr>
      <w:r>
        <w:t>GBM and Monte Carlo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dS = μS dt + σS dW;    S_T = S₀·exp[(μ − ½σ²)T + σW_T];    E[S_T] = S₀e^(μT)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Discrete: ln Sₜ₊Δt = ln Sₜ + (drift)·Δt + z·σ√Δt;   pricing drift = r − q,  real-world = μ̂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MC estimate: Ĉ₀ = e^(−rT)·(1/M)·ΣC_T⁽ᵐ⁾;   standard error = e^(−rT)·s/√M</w:t>
      </w:r>
    </w:p>
    <w:p>
      <w:pPr>
        <w:pStyle w:val="Heading3"/>
      </w:pPr>
      <w:r>
        <w:t>Svensson (1994)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₀yₜ = β₀ + β₁f₁(t/τ₁) + β₂f₂(t/τ₁) + β₃f₂(t/τ₂),  fᵢ as in Section 2.3;  6 daily ECB parameters</w:t>
      </w:r>
    </w:p>
    <w:p>
      <w:pPr>
        <w:pStyle w:val="Heading3"/>
      </w:pPr>
      <w:r>
        <w:t>Risk measures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95% VaR = −(5th percentile of simulated returns);    95% CVaR = −E[return | return ≤ −VaR]</w:t>
      </w:r>
    </w:p>
    <w:p>
      <w:pPr>
        <w:spacing w:before="80" w:after="80"/>
        <w:jc w:val="center"/>
      </w:pPr>
      <w:r>
        <w:rPr>
          <w:rFonts w:ascii="Cambria Math" w:hAnsi="Cambria Math"/>
          <w:sz w:val="22"/>
        </w:rPr>
        <w:t>Error metrics: ME = mean(P̂−P);  MAE = mean|P̂−P|;  RMSE = √mean((P̂−P)²);  MAPE in %</w:t>
      </w:r>
    </w:p>
    <w:p>
      <w:pPr>
        <w:pStyle w:val="Heading1"/>
      </w:pPr>
      <w:r>
        <w:t>7. Source Register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032"/>
          </w:tcPr>
          <w:p>
            <w:r/>
            <w:r>
              <w:rPr>
                <w:b/>
                <w:sz w:val="19"/>
              </w:rPr>
              <w:t>What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9"/>
              </w:rPr>
              <w:t>Source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RHM.DE daily prices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Yahoo Finance via yfinance (auto-adjusted closes), cached to data/rhm_prices.csv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Rheinmetall dividend €11.50 (FY2025)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Rheinmetall IR — ir.rheinmetall.com/investor-relations/share/dividend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Svensson parameters (daily)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ECB Data Portal — AAA euro-area sovereign curve parameters; cached to data/ECB Data Portal_20260615151519.csv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DU2076 terms (K = 2,000, B = 1,050, dates)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DZ BANK product page dzbank-wertpapiere.de/DU2076 and official KID PDF (bib-service.dzbank.de/bib/DE000DU20767-de-DE.pdf)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DU2076 daily market closes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onvista.de historical-prices CSV export → data/cert_prices.csv (the data route recommended in Session 3, slide 3)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Market-size figures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BSW 2023 table (lecture slide 13, total EUR 112bn) + DDV Marktvolumenstatistik (derivateverband.de) for segment shares and issuer list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Task IX grid design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Rubinstein &amp; Leland (J. Finance 1981); Leland (J. Finance 1985)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±5pp vol stress magnitude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FRTB / Basel market-risk vega stress convention (BCBS Jan 2019)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−20% crash scenario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PRIIPs KID adverse-scenario spirit (EU Reg. 1286/2014; ESMA 2017)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Methodology (tree, Greeks, GBM, VaR)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B401 Session notes: Session 2 (slides 2–15), Session 3 (slides 3–13), Q&amp;A slides</w:t>
            </w:r>
          </w:p>
        </w:tc>
      </w:tr>
    </w:tbl>
    <w:p>
      <w:pPr>
        <w:spacing w:after="40"/>
      </w:pPr>
    </w:p>
    <w:p>
      <w:pPr>
        <w:pStyle w:val="Heading1"/>
      </w:pPr>
      <w:r>
        <w:t>8. Likely Defence Questions — with Short Answers</w:t>
      </w:r>
    </w:p>
    <w:p>
      <w:r>
        <w:rPr>
          <w:b/>
        </w:rPr>
        <w:t>Q: Why can't Black-Scholes price DU2076?</w:t>
      </w:r>
    </w:p>
    <w:p>
      <w:pPr>
        <w:spacing w:after="200"/>
      </w:pPr>
      <w:r>
        <w:rPr>
          <w:b w:val="0"/>
          <w:i w:val="0"/>
        </w:rPr>
        <w:t>A: Its payoff depends on the whole price path (one touch of €1,050 permanently kills the bonus), while Black-Scholes only models the terminal distribution. Path dependency requires a tree, Monte Carlo, or a special closed form; we use a CRR tree with barrier absorption at every step.</w:t>
      </w:r>
    </w:p>
    <w:p>
      <w:r>
        <w:rPr>
          <w:b/>
        </w:rPr>
        <w:t>Q: Why do model and market prices differ in Task V?</w:t>
      </w:r>
    </w:p>
    <w:p>
      <w:pPr>
        <w:spacing w:after="200"/>
      </w:pPr>
      <w:r>
        <w:rPr>
          <w:b w:val="0"/>
          <w:i w:val="0"/>
        </w:rPr>
        <w:t>A: Two reasons: (1) the issuer margin embedded in every quoted price; (2) the volatility gap — the market prices on implied vol, our tree on realized (30-day rolling) vol. Because the certificate has negative vega and realized vol ran above implied, the model over-weights knock-out risk and underprices (ME = −94 EUR). The fit is best exactly when rolling vol dipped (Sep 2025) and worst in the vol spike (Jan 2026), consistent with this explanation.</w:t>
      </w:r>
    </w:p>
    <w:p>
      <w:r>
        <w:rPr>
          <w:b/>
        </w:rPr>
        <w:t>Q: Why is the certificate's Vega negative?</w:t>
      </w:r>
    </w:p>
    <w:p>
      <w:pPr>
        <w:spacing w:after="200"/>
      </w:pPr>
      <w:r>
        <w:rPr>
          <w:b w:val="0"/>
          <w:i w:val="0"/>
        </w:rPr>
        <w:t>A: Two reinforcing channels: the embedded short call at the cap loses when vol rises, and a higher vol raises the barrier-touch probability, destroying the expected bonus. The holder wants calm markets.</w:t>
      </w:r>
    </w:p>
    <w:p>
      <w:r>
        <w:rPr>
          <w:b/>
        </w:rPr>
        <w:t>Q: Why is Gamma negative near the cap and spiking near the barrier?</w:t>
      </w:r>
    </w:p>
    <w:p>
      <w:pPr>
        <w:spacing w:after="200"/>
      </w:pPr>
      <w:r>
        <w:rPr>
          <w:b w:val="0"/>
          <w:i w:val="0"/>
        </w:rPr>
        <w:t>A: Near the cap the payoff flattens (short-call character) so Delta falls as S rises. Near the barrier the knock-out probability reacts violently to spot, making value highly convex and pushing Delta above 1.</w:t>
      </w:r>
    </w:p>
    <w:p>
      <w:r>
        <w:rPr>
          <w:b/>
        </w:rPr>
        <w:t>Q: Why numerical Greeks, and why those bump sizes?</w:t>
      </w:r>
    </w:p>
    <w:p>
      <w:pPr>
        <w:spacing w:after="200"/>
      </w:pPr>
      <w:r>
        <w:rPr>
          <w:b w:val="0"/>
          <w:i w:val="0"/>
        </w:rPr>
        <w:t>A: No closed form exists for the barrier product. Central differences on the tree; the Gamma bump must exceed one tree-node spacing (~EUR 39 at N=200/500) or the second difference collapses into discretisation noise — hence 5% for Gamma vs. 1% for Delta, and 2pp for Vega.</w:t>
      </w:r>
    </w:p>
    <w:p>
      <w:r>
        <w:rPr>
          <w:b/>
        </w:rPr>
        <w:t>Q: What does an equity fraction above 100% mean?</w:t>
      </w:r>
    </w:p>
    <w:p>
      <w:pPr>
        <w:spacing w:after="200"/>
      </w:pPr>
      <w:r>
        <w:rPr>
          <w:b w:val="0"/>
          <w:i w:val="0"/>
        </w:rPr>
        <w:t>A: The replicating book holds more than one share financed by a short bond position — mild leverage. It happens near the barrier where Delta → 1 while the certificate value falls.</w:t>
      </w:r>
    </w:p>
    <w:p>
      <w:r>
        <w:rPr>
          <w:b/>
        </w:rPr>
        <w:t>Q: How does the bonus certificate behave in a falling market?</w:t>
      </w:r>
    </w:p>
    <w:p>
      <w:pPr>
        <w:spacing w:after="200"/>
      </w:pPr>
      <w:r>
        <w:rPr>
          <w:b w:val="0"/>
          <w:i w:val="0"/>
        </w:rPr>
        <w:t>A: Opposite to a capital-protected note: Delta RISES toward 1 as S approaches the barrier, so stock exposure is maximal at the worst time, and a single touch converts the product into a capped forward with full downside. That is the key risk-management lesson of Task VII.</w:t>
      </w:r>
    </w:p>
    <w:p>
      <w:r>
        <w:rPr>
          <w:b/>
        </w:rPr>
        <w:t>Q: Why do you use two different volatilities, and two different drift concepts?</w:t>
      </w:r>
    </w:p>
    <w:p>
      <w:pPr>
        <w:spacing w:after="200"/>
      </w:pPr>
      <w:r>
        <w:rPr>
          <w:b w:val="0"/>
          <w:i w:val="0"/>
        </w:rPr>
        <w:t>A: Vols: a stable full-sample σ for design/simulation, a 30-day rolling σ for daily mark-to-model pricing (a contemporaneous risk measure grades better than one frozen number). Drifts: real-world distributions use the physical μ̂; option prices always use the risk-neutral drift r − q — mixing them is an arbitrage error.</w:t>
      </w:r>
    </w:p>
    <w:p>
      <w:r>
        <w:rPr>
          <w:b/>
        </w:rPr>
        <w:t>Q: Why is there no −½σ² term in your MC step?</w:t>
      </w:r>
    </w:p>
    <w:p>
      <w:pPr>
        <w:spacing w:after="200"/>
      </w:pPr>
      <w:r>
        <w:rPr>
          <w:b w:val="0"/>
          <w:i w:val="0"/>
        </w:rPr>
        <w:t>A: Because μ̂ is estimated as the mean of log-returns, it already IS the drift of ln S. The −½σ² correction applies when converting an arithmetic price drift (like r under the pricing measure) into a log drift.</w:t>
      </w:r>
    </w:p>
    <w:p>
      <w:r>
        <w:rPr>
          <w:b/>
        </w:rPr>
        <w:t>Q: Why does more put insurance eventually RAISE VaR?</w:t>
      </w:r>
    </w:p>
    <w:p>
      <w:pPr>
        <w:spacing w:after="200"/>
      </w:pPr>
      <w:r>
        <w:rPr>
          <w:b w:val="0"/>
          <w:i w:val="0"/>
        </w:rPr>
        <w:t>A: The premium is a certain cost while the payoff is contingent; in a high-drift distribution the 5th-percentile path often ends only mildly down, so past an interior optimum extra premium drag deepens the quantile loss. Hence the U-shape in α.</w:t>
      </w:r>
    </w:p>
    <w:p>
      <w:r>
        <w:rPr>
          <w:b/>
        </w:rPr>
        <w:t>Q: Why does Task XI need the 105% strike, and why the 0.5pp buffer?</w:t>
      </w:r>
    </w:p>
    <w:p>
      <w:pPr>
        <w:spacing w:after="200"/>
      </w:pPr>
      <w:r>
        <w:rPr>
          <w:b w:val="0"/>
          <w:i w:val="0"/>
        </w:rPr>
        <w:t>A: OTM/ATM puts pay too little at the 5th-percentile outcome — their VaR floors above 15% at ANY allocation. Only the slightly-ITM put moves the tail enough. The buffer: a 50,000-path VaR carries sampling noise, and a portfolio sitting exactly on the limit breaches it in ~45% of re-seeded runs; a risk manager sizes below a limit, not on it. Cost: ~1pp of expected return.</w:t>
      </w:r>
    </w:p>
    <w:p>
      <w:r>
        <w:rPr>
          <w:b/>
        </w:rPr>
        <w:t>Q: What does "fully utilising the constraint" mean if you sit at 14.48%, not 15.00%?</w:t>
      </w:r>
    </w:p>
    <w:p>
      <w:pPr>
        <w:spacing w:after="200"/>
      </w:pPr>
      <w:r>
        <w:rPr>
          <w:b w:val="0"/>
          <w:i w:val="0"/>
        </w:rPr>
        <w:t>A: The constraint binds economically: among robustly compliant portfolios we maximise expected return, and the chosen point is as close to the ceiling as Monte-Carlo estimation error responsibly allows. The knife-edge allocation (α = 11.9%, VaR = 15.00%) is reported alongside for transparency.</w:t>
      </w:r>
    </w:p>
    <w:p>
      <w:r>
        <w:rPr>
          <w:b/>
        </w:rPr>
        <w:t>Q: Is your Part 3 drift realistic?</w:t>
      </w:r>
    </w:p>
    <w:p>
      <w:pPr>
        <w:spacing w:after="200"/>
      </w:pPr>
      <w:r>
        <w:rPr>
          <w:b w:val="0"/>
          <w:i w:val="0"/>
        </w:rPr>
        <w:t>A: No, and the notebook says so: 54% p.a. is Rheinmetall's exceptional re-rating, not a forecast; a normal ERP would be 6–9% over the risk-free rate. Results are explicitly conditional on the regime, and the sign of some findings would change under a conventional drift.</w:t>
      </w:r>
    </w:p>
    <w:p>
      <w:r>
        <w:rPr>
          <w:b/>
        </w:rPr>
        <w:t>Q: How is reproducibility guaranteed?</w:t>
      </w:r>
    </w:p>
    <w:p>
      <w:pPr>
        <w:spacing w:after="200"/>
      </w:pPr>
      <w:r>
        <w:rPr>
          <w:b w:val="0"/>
          <w:i w:val="0"/>
        </w:rPr>
        <w:t>A: All external data (prices, certificate closes, ECB Svensson parameters) is cached as local files and read from disk — no live API calls at runtime; the MC seed is fixed at 2026; one shared path set serves all Part 3 tasks; and the tree averages N and N+1 steps for numerically stable prices.</w:t>
      </w:r>
    </w:p>
    <w:p/>
    <w:p>
      <w:pPr>
        <w:jc w:val="center"/>
      </w:pPr>
      <w:r>
        <w:rPr>
          <w:i/>
          <w:color w:val="555555"/>
          <w:sz w:val="17"/>
        </w:rPr>
        <w:t>Generated from B401_Assignment_2026.ipynb, the official assignment brief and the Session 2/3/Q&amp;A notes. All figures are executed notebook outputs.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B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8B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