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93"/>
        <w:tblW w:w="22364" w:type="dxa"/>
        <w:tblLook w:val="04A0" w:firstRow="1" w:lastRow="0" w:firstColumn="1" w:lastColumn="0" w:noHBand="0" w:noVBand="1"/>
      </w:tblPr>
      <w:tblGrid>
        <w:gridCol w:w="4211"/>
        <w:gridCol w:w="12474"/>
        <w:gridCol w:w="5679"/>
      </w:tblGrid>
      <w:tr w:rsidR="00FA6EFB" w:rsidRPr="001F5232" w:rsidTr="00BF6AC2">
        <w:trPr>
          <w:trHeight w:val="62"/>
        </w:trPr>
        <w:tc>
          <w:tcPr>
            <w:tcW w:w="4211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6AC2" w:rsidRPr="001F5232" w:rsidRDefault="004B029D" w:rsidP="004B029D">
            <w:pPr>
              <w:spacing w:after="18" w:line="216" w:lineRule="auto"/>
              <w:rPr>
                <w:rFonts w:ascii="Times New Roman" w:hAnsi="Times New Roman" w:cs="Times New Roman"/>
                <w:b/>
                <w:color w:val="FFFFFF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Name: Daanish Muzaffar</w:t>
            </w:r>
          </w:p>
          <w:p w:rsidR="004B029D" w:rsidRPr="001F5232" w:rsidRDefault="004B029D" w:rsidP="004B029D">
            <w:pPr>
              <w:spacing w:after="18" w:line="216" w:lineRule="auto"/>
              <w:rPr>
                <w:rFonts w:ascii="Times New Roman" w:hAnsi="Times New Roman" w:cs="Times New Roman"/>
                <w:b/>
                <w:color w:val="FFFFFF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Student ID: 7259472</w:t>
            </w:r>
          </w:p>
        </w:tc>
        <w:tc>
          <w:tcPr>
            <w:tcW w:w="12474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029D" w:rsidRPr="001F5232" w:rsidRDefault="004B029D" w:rsidP="004B029D">
            <w:pPr>
              <w:spacing w:after="20" w:line="216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  <w:sz w:val="36"/>
                <w:szCs w:val="32"/>
              </w:rPr>
              <w:t>Structured Product Pricing</w:t>
            </w:r>
            <w:r w:rsidR="00BE1BFD">
              <w:rPr>
                <w:rFonts w:ascii="Times New Roman" w:hAnsi="Times New Roman" w:cs="Times New Roman"/>
                <w:b/>
                <w:color w:val="FFFFFF"/>
                <w:sz w:val="36"/>
                <w:szCs w:val="32"/>
              </w:rPr>
              <w:t xml:space="preserve"> and Risk Analysis</w:t>
            </w:r>
            <w:r w:rsidRPr="001F5232">
              <w:rPr>
                <w:rFonts w:ascii="Times New Roman" w:hAnsi="Times New Roman" w:cs="Times New Roman"/>
                <w:b/>
                <w:color w:val="FFFFFF"/>
                <w:sz w:val="36"/>
                <w:szCs w:val="32"/>
              </w:rPr>
              <w:t xml:space="preserve"> on Rheinmetall AG</w:t>
            </w:r>
          </w:p>
          <w:p w:rsidR="004B029D" w:rsidRPr="001F5232" w:rsidRDefault="004B029D" w:rsidP="004B029D">
            <w:pPr>
              <w:spacing w:after="0" w:line="216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1F5232">
              <w:rPr>
                <w:rFonts w:ascii="Times New Roman" w:hAnsi="Times New Roman" w:cs="Times New Roman"/>
                <w:color w:val="FFFFFF"/>
                <w:sz w:val="28"/>
                <w:szCs w:val="24"/>
              </w:rPr>
              <w:t xml:space="preserve">Eberhard Karls Universität </w:t>
            </w:r>
            <w:proofErr w:type="gramStart"/>
            <w:r w:rsidRPr="001F5232">
              <w:rPr>
                <w:rFonts w:ascii="Times New Roman" w:hAnsi="Times New Roman" w:cs="Times New Roman"/>
                <w:color w:val="FFFFFF"/>
                <w:sz w:val="28"/>
                <w:szCs w:val="24"/>
              </w:rPr>
              <w:t>Tübingen  ·</w:t>
            </w:r>
            <w:proofErr w:type="gramEnd"/>
            <w:r w:rsidRPr="001F5232">
              <w:rPr>
                <w:rFonts w:ascii="Times New Roman" w:hAnsi="Times New Roman" w:cs="Times New Roman"/>
                <w:color w:val="FFFFFF"/>
                <w:sz w:val="28"/>
                <w:szCs w:val="24"/>
              </w:rPr>
              <w:t xml:space="preserve">  B401: Continuous-Time Derivatives </w:t>
            </w:r>
            <w:proofErr w:type="gramStart"/>
            <w:r w:rsidRPr="001F5232">
              <w:rPr>
                <w:rFonts w:ascii="Times New Roman" w:hAnsi="Times New Roman" w:cs="Times New Roman"/>
                <w:color w:val="FFFFFF"/>
                <w:sz w:val="28"/>
                <w:szCs w:val="24"/>
              </w:rPr>
              <w:t>Pricing  ·</w:t>
            </w:r>
            <w:proofErr w:type="gramEnd"/>
            <w:r w:rsidRPr="001F5232">
              <w:rPr>
                <w:rFonts w:ascii="Times New Roman" w:hAnsi="Times New Roman" w:cs="Times New Roman"/>
                <w:color w:val="FFFFFF"/>
                <w:sz w:val="28"/>
                <w:szCs w:val="24"/>
              </w:rPr>
              <w:t xml:space="preserve">  Summer Term 2026</w:t>
            </w:r>
          </w:p>
        </w:tc>
        <w:tc>
          <w:tcPr>
            <w:tcW w:w="5679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029D" w:rsidRPr="001F5232" w:rsidRDefault="00EE71D7" w:rsidP="00EE71D7">
            <w:pPr>
              <w:jc w:val="center"/>
              <w:rPr>
                <w:rFonts w:ascii="Times New Roman" w:hAnsi="Times New Roman" w:cs="Times New Roman"/>
              </w:rPr>
            </w:pPr>
            <w:r>
              <w:fldChar w:fldCharType="begin"/>
            </w:r>
            <w:r>
              <w:instrText xml:space="preserve"> INCLUDEPICTURE "https://companieslogo.com/img/orig/RHM.F-1ce5642c.png?t=1720244493"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261318" cy="370390"/>
                  <wp:effectExtent l="0" t="0" r="5715" b="0"/>
                  <wp:docPr id="1872818319" name="Picture 2" descr="Rheinmetall Logo im transparenten PNG- und vektorisierten SVG-Form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Rheinmetall Logo im transparenten PNG- und vektorisierten SVG-Form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23" cy="423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 w:rsidRPr="001F5232">
              <w:rPr>
                <w:rFonts w:ascii="Times New Roman" w:hAnsi="Times New Roman" w:cs="Times New Roman"/>
              </w:rPr>
              <w:fldChar w:fldCharType="begin"/>
            </w:r>
            <w:r w:rsidRPr="001F5232">
              <w:rPr>
                <w:rFonts w:ascii="Times New Roman" w:hAnsi="Times New Roman" w:cs="Times New Roman"/>
              </w:rPr>
              <w:instrText xml:space="preserve"> INCLUDEPICTURE "https://upload.wikimedia.org/wikipedia/commons/thumb/1/19/Rheinmetall_Logo_2021.svg/3840px-Rheinmetall_Logo_2021.svg.png" \* MERGEFORMATINET </w:instrText>
            </w:r>
            <w:r w:rsidRPr="001F5232">
              <w:rPr>
                <w:rFonts w:ascii="Times New Roman" w:hAnsi="Times New Roman" w:cs="Times New Roman"/>
              </w:rPr>
              <w:fldChar w:fldCharType="separate"/>
            </w:r>
            <w:r w:rsidRPr="001F523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8CABA0" wp14:editId="05A0F4EB">
                  <wp:extent cx="1331089" cy="272024"/>
                  <wp:effectExtent l="0" t="0" r="2540" b="0"/>
                  <wp:docPr id="247726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54" t="37980" b="-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5703" cy="332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1F5232"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:rsidR="004B029D" w:rsidRPr="001F5232" w:rsidRDefault="004B029D" w:rsidP="004B029D">
      <w:pPr>
        <w:keepNext/>
        <w:pBdr>
          <w:bottom w:val="single" w:sz="8" w:space="0" w:color="8B1A1A"/>
        </w:pBdr>
        <w:spacing w:before="6" w:after="7" w:line="216" w:lineRule="auto"/>
        <w:rPr>
          <w:rFonts w:ascii="Times New Roman" w:hAnsi="Times New Roman" w:cs="Times New Roman"/>
          <w:b/>
          <w:color w:val="8B1A1A"/>
        </w:rPr>
        <w:sectPr w:rsidR="004B029D" w:rsidRPr="001F5232" w:rsidSect="004B029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23820" w:h="16840" w:orient="landscape"/>
          <w:pgMar w:top="567" w:right="567" w:bottom="567" w:left="567" w:header="720" w:footer="720" w:gutter="0"/>
          <w:cols w:num="4" w:space="284"/>
          <w:docGrid w:linePitch="360"/>
        </w:sectPr>
      </w:pPr>
    </w:p>
    <w:p w:rsidR="004B029D" w:rsidRPr="001F5232" w:rsidRDefault="004B029D" w:rsidP="0004054A">
      <w:pPr>
        <w:keepNext/>
        <w:pBdr>
          <w:bottom w:val="single" w:sz="8" w:space="0" w:color="8B1A1A"/>
        </w:pBdr>
        <w:spacing w:after="7" w:line="216" w:lineRule="auto"/>
        <w:rPr>
          <w:rFonts w:ascii="Times New Roman" w:hAnsi="Times New Roman" w:cs="Times New Roman"/>
          <w:b/>
          <w:color w:val="8B1A1A"/>
        </w:rPr>
        <w:sectPr w:rsidR="004B029D" w:rsidRPr="001F5232" w:rsidSect="004B029D">
          <w:type w:val="continuous"/>
          <w:pgSz w:w="23820" w:h="16840" w:orient="landscape"/>
          <w:pgMar w:top="567" w:right="567" w:bottom="567" w:left="567" w:header="720" w:footer="720" w:gutter="0"/>
          <w:cols w:space="284"/>
          <w:docGrid w:linePitch="360"/>
        </w:sectPr>
      </w:pPr>
    </w:p>
    <w:p w:rsidR="004B029D" w:rsidRPr="001F5232" w:rsidRDefault="004B029D" w:rsidP="004B029D">
      <w:pPr>
        <w:keepNext/>
        <w:pBdr>
          <w:bottom w:val="single" w:sz="8" w:space="0" w:color="8B1A1A"/>
        </w:pBdr>
        <w:spacing w:before="6" w:after="7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PART 1: DESIGNING CERTIFICATES</w:t>
      </w:r>
    </w:p>
    <w:p w:rsidR="004B029D" w:rsidRPr="001F5232" w:rsidRDefault="004B029D" w:rsidP="004B029D">
      <w:pPr>
        <w:keepNext/>
        <w:spacing w:before="4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I: Investor Profile</w:t>
      </w:r>
    </w:p>
    <w:tbl>
      <w:tblPr>
        <w:tblW w:w="5387" w:type="dxa"/>
        <w:tblLook w:val="04A0" w:firstRow="1" w:lastRow="0" w:firstColumn="1" w:lastColumn="0" w:noHBand="0" w:noVBand="1"/>
      </w:tblPr>
      <w:tblGrid>
        <w:gridCol w:w="1701"/>
        <w:gridCol w:w="3686"/>
      </w:tblGrid>
      <w:tr w:rsidR="00E615AD" w:rsidRPr="001F5232" w:rsidTr="00383215">
        <w:trPr>
          <w:trHeight w:val="200"/>
        </w:trPr>
        <w:tc>
          <w:tcPr>
            <w:tcW w:w="170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BE1BFD">
              <w:rPr>
                <w:rFonts w:ascii="Times New Roman" w:hAnsi="Times New Roman" w:cs="Times New Roman"/>
                <w:b/>
                <w:bCs/>
              </w:rPr>
              <w:t>Dimension</w:t>
            </w:r>
          </w:p>
        </w:tc>
        <w:tc>
          <w:tcPr>
            <w:tcW w:w="3686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Description</w:t>
            </w:r>
          </w:p>
        </w:tc>
      </w:tr>
      <w:tr w:rsidR="00E615AD" w:rsidRPr="001F5232" w:rsidTr="00383215">
        <w:trPr>
          <w:trHeight w:val="200"/>
        </w:trPr>
        <w:tc>
          <w:tcPr>
            <w:tcW w:w="170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</w:rPr>
              <w:t>Investor</w:t>
            </w:r>
          </w:p>
        </w:tc>
        <w:tc>
          <w:tcPr>
            <w:tcW w:w="368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</w:rPr>
              <w:t>German retail saver, age 40–60</w:t>
            </w:r>
          </w:p>
        </w:tc>
      </w:tr>
      <w:tr w:rsidR="00E615AD" w:rsidRPr="001F5232" w:rsidTr="00383215">
        <w:trPr>
          <w:trHeight w:val="200"/>
        </w:trPr>
        <w:tc>
          <w:tcPr>
            <w:tcW w:w="17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Perspective</w:t>
            </w:r>
          </w:p>
        </w:tc>
        <w:tc>
          <w:tcPr>
            <w:tcW w:w="368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</w:rPr>
              <w:t xml:space="preserve">3–5 years. Expects +15–30% from the </w:t>
            </w:r>
            <w:proofErr w:type="spellStart"/>
            <w:r w:rsidRPr="001F5232">
              <w:rPr>
                <w:rFonts w:ascii="Times New Roman" w:hAnsi="Times New Roman" w:cs="Times New Roman"/>
              </w:rPr>
              <w:t>defence</w:t>
            </w:r>
            <w:proofErr w:type="spellEnd"/>
            <w:r w:rsidRPr="001F5232">
              <w:rPr>
                <w:rFonts w:ascii="Times New Roman" w:hAnsi="Times New Roman" w:cs="Times New Roman"/>
              </w:rPr>
              <w:t xml:space="preserve"> re-rating (€100bn </w:t>
            </w:r>
            <w:proofErr w:type="spellStart"/>
            <w:r w:rsidRPr="001F5232">
              <w:rPr>
                <w:rFonts w:ascii="Times New Roman" w:hAnsi="Times New Roman" w:cs="Times New Roman"/>
              </w:rPr>
              <w:t>programme</w:t>
            </w:r>
            <w:proofErr w:type="spellEnd"/>
            <w:r w:rsidRPr="001F5232">
              <w:rPr>
                <w:rFonts w:ascii="Times New Roman" w:hAnsi="Times New Roman" w:cs="Times New Roman"/>
              </w:rPr>
              <w:t>).</w:t>
            </w:r>
          </w:p>
        </w:tc>
      </w:tr>
      <w:tr w:rsidR="00E615AD" w:rsidRPr="001F5232" w:rsidTr="00383215">
        <w:trPr>
          <w:trHeight w:val="200"/>
        </w:trPr>
        <w:tc>
          <w:tcPr>
            <w:tcW w:w="170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</w:rPr>
              <w:t>Risk tolerance</w:t>
            </w:r>
          </w:p>
        </w:tc>
        <w:tc>
          <w:tcPr>
            <w:tcW w:w="368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</w:rPr>
              <w:t>Low. Needs full capital protection. RHM's ~40% vol is too high.</w:t>
            </w:r>
          </w:p>
        </w:tc>
      </w:tr>
      <w:tr w:rsidR="00E615AD" w:rsidRPr="001F5232" w:rsidTr="00383215">
        <w:trPr>
          <w:trHeight w:val="200"/>
        </w:trPr>
        <w:tc>
          <w:tcPr>
            <w:tcW w:w="17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BE1BFD" w:rsidRDefault="00E615AD" w:rsidP="0004054A">
            <w:pPr>
              <w:spacing w:after="0" w:line="216" w:lineRule="auto"/>
              <w:rPr>
                <w:rFonts w:ascii="Times New Roman" w:hAnsi="Times New Roman" w:cs="Times New Roman"/>
                <w:b/>
                <w:bCs/>
              </w:rPr>
            </w:pPr>
            <w:r w:rsidRPr="001F5232">
              <w:rPr>
                <w:rFonts w:ascii="Times New Roman" w:hAnsi="Times New Roman" w:cs="Times New Roman"/>
                <w:b/>
              </w:rPr>
              <w:t>Alternatives</w:t>
            </w:r>
          </w:p>
        </w:tc>
        <w:tc>
          <w:tcPr>
            <w:tcW w:w="368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</w:rPr>
              <w:t xml:space="preserve">Beats direct stock, </w:t>
            </w:r>
            <w:proofErr w:type="spellStart"/>
            <w:r w:rsidRPr="001F5232">
              <w:rPr>
                <w:rFonts w:ascii="Times New Roman" w:hAnsi="Times New Roman" w:cs="Times New Roman"/>
              </w:rPr>
              <w:t>defence</w:t>
            </w:r>
            <w:proofErr w:type="spellEnd"/>
            <w:r w:rsidRPr="001F5232">
              <w:rPr>
                <w:rFonts w:ascii="Times New Roman" w:hAnsi="Times New Roman" w:cs="Times New Roman"/>
              </w:rPr>
              <w:t xml:space="preserve"> ETF, bank deposits, reverse convertibles</w:t>
            </w:r>
          </w:p>
        </w:tc>
      </w:tr>
    </w:tbl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II: Product Design</w:t>
      </w:r>
    </w:p>
    <w:p w:rsidR="004B029D" w:rsidRPr="001F5232" w:rsidRDefault="004B029D" w:rsidP="004B029D">
      <w:pPr>
        <w:spacing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111111"/>
        </w:rPr>
        <w:t xml:space="preserve">Product: </w:t>
      </w:r>
      <w:r w:rsidRPr="001F5232">
        <w:rPr>
          <w:rFonts w:ascii="Times New Roman" w:hAnsi="Times New Roman" w:cs="Times New Roman"/>
          <w:color w:val="111111"/>
        </w:rPr>
        <w:t>Capped Capital Protected Participation Note on RHM.DE</w:t>
      </w:r>
    </w:p>
    <w:p w:rsidR="004B029D" w:rsidRPr="001F5232" w:rsidRDefault="004B029D" w:rsidP="004B029D">
      <w:pPr>
        <w:spacing w:after="5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111111"/>
        </w:rPr>
        <w:t xml:space="preserve">Structure: </w:t>
      </w:r>
      <w:r w:rsidRPr="001F5232">
        <w:rPr>
          <w:rFonts w:ascii="Times New Roman" w:hAnsi="Times New Roman" w:cs="Times New Roman"/>
          <w:color w:val="111111"/>
        </w:rPr>
        <w:t>ZCB + 85.2% × [</w:t>
      </w:r>
      <w:proofErr w:type="gramStart"/>
      <w:r w:rsidRPr="001F5232">
        <w:rPr>
          <w:rFonts w:ascii="Times New Roman" w:hAnsi="Times New Roman" w:cs="Times New Roman"/>
          <w:color w:val="111111"/>
        </w:rPr>
        <w:t>Call(</w:t>
      </w:r>
      <w:proofErr w:type="gramEnd"/>
      <w:r w:rsidRPr="001F5232">
        <w:rPr>
          <w:rFonts w:ascii="Times New Roman" w:hAnsi="Times New Roman" w:cs="Times New Roman"/>
          <w:color w:val="111111"/>
        </w:rPr>
        <w:t xml:space="preserve">1,207) − </w:t>
      </w:r>
      <w:proofErr w:type="gramStart"/>
      <w:r w:rsidRPr="001F5232">
        <w:rPr>
          <w:rFonts w:ascii="Times New Roman" w:hAnsi="Times New Roman" w:cs="Times New Roman"/>
          <w:color w:val="111111"/>
        </w:rPr>
        <w:t>Call(</w:t>
      </w:r>
      <w:proofErr w:type="gramEnd"/>
      <w:r w:rsidRPr="001F5232">
        <w:rPr>
          <w:rFonts w:ascii="Times New Roman" w:hAnsi="Times New Roman" w:cs="Times New Roman"/>
          <w:color w:val="111111"/>
        </w:rPr>
        <w:t>1,569)]</w:t>
      </w:r>
    </w:p>
    <w:p w:rsidR="004B029D" w:rsidRPr="001F5232" w:rsidRDefault="004B029D" w:rsidP="004B029D">
      <w:pPr>
        <w:spacing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S₀=EUR 1,207 | T=3 y | σ=39.88% (full-sample hist.) | r(3</w:t>
      </w:r>
      <w:proofErr w:type="gramStart"/>
      <w:r w:rsidRPr="001F5232">
        <w:rPr>
          <w:rFonts w:ascii="Times New Roman" w:hAnsi="Times New Roman" w:cs="Times New Roman"/>
          <w:i/>
          <w:color w:val="666666"/>
        </w:rPr>
        <w:t>y)=</w:t>
      </w:r>
      <w:proofErr w:type="gramEnd"/>
      <w:r w:rsidRPr="001F5232">
        <w:rPr>
          <w:rFonts w:ascii="Times New Roman" w:hAnsi="Times New Roman" w:cs="Times New Roman"/>
          <w:i/>
          <w:color w:val="666666"/>
        </w:rPr>
        <w:t>2.62% (Svensson, ECB AAA) | q=0.95%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7"/>
        <w:gridCol w:w="2091"/>
      </w:tblGrid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Component</w:t>
            </w:r>
          </w:p>
        </w:tc>
        <w:tc>
          <w:tcPr>
            <w:tcW w:w="209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EUR</w:t>
            </w:r>
          </w:p>
        </w:tc>
      </w:tr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ZCB present value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1,115.79</w:t>
            </w:r>
          </w:p>
        </w:tc>
      </w:tr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ATM call (K=1,207)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338.64</w:t>
            </w:r>
          </w:p>
        </w:tc>
      </w:tr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Cap call (K=1,569, short)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231.59</w:t>
            </w:r>
          </w:p>
        </w:tc>
      </w:tr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Net spread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107.04</w:t>
            </w:r>
          </w:p>
        </w:tc>
      </w:tr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Participation α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85.2%</w:t>
            </w:r>
          </w:p>
        </w:tc>
      </w:tr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Max gain at cap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+25.6% (1,515.53)</w:t>
            </w:r>
          </w:p>
        </w:tc>
      </w:tr>
    </w:tbl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zero bond guarantees the EUR 1,207 nominal. The short 130% call pays for the 85.2% participation. The participation rate is stable across vol levels.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III: Payoff Profile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note beats the stock below S₀=1,207 and beats the risk-free bond above roughly EUR 1,323. Above the cap at 1,569 the payoff is fixed at EUR 1,516 and the stock pulls ahead.</w:t>
      </w:r>
    </w:p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5465372C" wp14:editId="4A02840D">
            <wp:extent cx="3002542" cy="1719072"/>
            <wp:effectExtent l="0" t="0" r="0" b="0"/>
            <wp:docPr id="1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0464" cy="176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Pr="001F5232" w:rsidRDefault="004B029D" w:rsidP="004B029D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Fig. 1: Certificate vs stock payoff at maturity.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30"/>
        <w:gridCol w:w="1038"/>
        <w:gridCol w:w="993"/>
        <w:gridCol w:w="1967"/>
      </w:tblGrid>
      <w:tr w:rsidR="004B029D" w:rsidRPr="001F5232" w:rsidTr="0004054A">
        <w:trPr>
          <w:trHeight w:val="238"/>
          <w:jc w:val="center"/>
        </w:trPr>
        <w:tc>
          <w:tcPr>
            <w:tcW w:w="1230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S_T</w:t>
            </w:r>
          </w:p>
        </w:tc>
        <w:tc>
          <w:tcPr>
            <w:tcW w:w="1038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CPN</w:t>
            </w:r>
          </w:p>
        </w:tc>
        <w:tc>
          <w:tcPr>
            <w:tcW w:w="993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Stock</w:t>
            </w:r>
          </w:p>
        </w:tc>
        <w:tc>
          <w:tcPr>
            <w:tcW w:w="196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Region</w:t>
            </w:r>
          </w:p>
        </w:tc>
      </w:tr>
      <w:tr w:rsidR="004B029D" w:rsidRPr="001F5232" w:rsidTr="0004054A">
        <w:trPr>
          <w:trHeight w:val="238"/>
          <w:jc w:val="center"/>
        </w:trPr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844.9</w:t>
            </w:r>
          </w:p>
        </w:tc>
        <w:tc>
          <w:tcPr>
            <w:tcW w:w="103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1,207.00</w:t>
            </w:r>
          </w:p>
        </w:tc>
        <w:tc>
          <w:tcPr>
            <w:tcW w:w="99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844.9</w:t>
            </w:r>
          </w:p>
        </w:tc>
        <w:tc>
          <w:tcPr>
            <w:tcW w:w="196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Protected</w:t>
            </w:r>
          </w:p>
        </w:tc>
      </w:tr>
      <w:tr w:rsidR="004B029D" w:rsidRPr="001F5232" w:rsidTr="0004054A">
        <w:trPr>
          <w:trHeight w:val="238"/>
          <w:jc w:val="center"/>
        </w:trPr>
        <w:tc>
          <w:tcPr>
            <w:tcW w:w="12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1,207.0</w:t>
            </w:r>
          </w:p>
        </w:tc>
        <w:tc>
          <w:tcPr>
            <w:tcW w:w="103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1,207.00</w:t>
            </w:r>
          </w:p>
        </w:tc>
        <w:tc>
          <w:tcPr>
            <w:tcW w:w="99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1,207.0</w:t>
            </w:r>
          </w:p>
        </w:tc>
        <w:tc>
          <w:tcPr>
            <w:tcW w:w="196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Floor (ATM)</w:t>
            </w:r>
          </w:p>
        </w:tc>
      </w:tr>
      <w:tr w:rsidR="004B029D" w:rsidRPr="001F5232" w:rsidTr="0004054A">
        <w:trPr>
          <w:trHeight w:val="238"/>
          <w:jc w:val="center"/>
        </w:trPr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1,322.8</w:t>
            </w:r>
          </w:p>
        </w:tc>
        <w:tc>
          <w:tcPr>
            <w:tcW w:w="103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1,305.67</w:t>
            </w:r>
          </w:p>
        </w:tc>
        <w:tc>
          <w:tcPr>
            <w:tcW w:w="99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1,322.8</w:t>
            </w:r>
          </w:p>
        </w:tc>
        <w:tc>
          <w:tcPr>
            <w:tcW w:w="196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Break-even vs bond</w:t>
            </w:r>
          </w:p>
        </w:tc>
      </w:tr>
      <w:tr w:rsidR="004B029D" w:rsidRPr="001F5232" w:rsidTr="0004054A">
        <w:trPr>
          <w:trHeight w:val="238"/>
          <w:jc w:val="center"/>
        </w:trPr>
        <w:tc>
          <w:tcPr>
            <w:tcW w:w="12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1,569.1</w:t>
            </w:r>
          </w:p>
        </w:tc>
        <w:tc>
          <w:tcPr>
            <w:tcW w:w="103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1,515.53</w:t>
            </w:r>
          </w:p>
        </w:tc>
        <w:tc>
          <w:tcPr>
            <w:tcW w:w="99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1,569.1</w:t>
            </w:r>
          </w:p>
        </w:tc>
        <w:tc>
          <w:tcPr>
            <w:tcW w:w="196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At cap</w:t>
            </w:r>
          </w:p>
        </w:tc>
      </w:tr>
      <w:tr w:rsidR="004B029D" w:rsidRPr="001F5232" w:rsidTr="0004054A">
        <w:trPr>
          <w:trHeight w:val="238"/>
          <w:jc w:val="center"/>
        </w:trPr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2,051.9</w:t>
            </w:r>
          </w:p>
        </w:tc>
        <w:tc>
          <w:tcPr>
            <w:tcW w:w="103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1,515.53</w:t>
            </w:r>
          </w:p>
        </w:tc>
        <w:tc>
          <w:tcPr>
            <w:tcW w:w="99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2,051.9</w:t>
            </w:r>
          </w:p>
        </w:tc>
        <w:tc>
          <w:tcPr>
            <w:tcW w:w="196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Capped</w:t>
            </w:r>
          </w:p>
        </w:tc>
      </w:tr>
    </w:tbl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IV: Market Size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61"/>
        <w:gridCol w:w="992"/>
        <w:gridCol w:w="975"/>
      </w:tblGrid>
      <w:tr w:rsidR="004B029D" w:rsidRPr="001F5232" w:rsidTr="0004054A">
        <w:trPr>
          <w:trHeight w:val="238"/>
        </w:trPr>
        <w:tc>
          <w:tcPr>
            <w:tcW w:w="326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Segment</w:t>
            </w:r>
          </w:p>
        </w:tc>
        <w:tc>
          <w:tcPr>
            <w:tcW w:w="992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EUR</w:t>
            </w:r>
          </w:p>
        </w:tc>
        <w:tc>
          <w:tcPr>
            <w:tcW w:w="975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Share</w:t>
            </w:r>
          </w:p>
        </w:tc>
      </w:tr>
      <w:tr w:rsidR="004B029D" w:rsidRPr="001F5232" w:rsidTr="0004054A">
        <w:trPr>
          <w:trHeight w:val="238"/>
        </w:trPr>
        <w:tc>
          <w:tcPr>
            <w:tcW w:w="326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Total structured products</w:t>
            </w:r>
          </w:p>
        </w:tc>
        <w:tc>
          <w:tcPr>
            <w:tcW w:w="99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112 bn</w:t>
            </w:r>
          </w:p>
        </w:tc>
        <w:tc>
          <w:tcPr>
            <w:tcW w:w="97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100%</w:t>
            </w:r>
          </w:p>
        </w:tc>
      </w:tr>
      <w:tr w:rsidR="004B029D" w:rsidRPr="001F5232" w:rsidTr="0004054A">
        <w:trPr>
          <w:trHeight w:val="238"/>
        </w:trPr>
        <w:tc>
          <w:tcPr>
            <w:tcW w:w="326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Capital protection (BSW 2023)</w:t>
            </w:r>
          </w:p>
        </w:tc>
        <w:tc>
          <w:tcPr>
            <w:tcW w:w="992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4,254 mn</w:t>
            </w:r>
          </w:p>
        </w:tc>
        <w:tc>
          <w:tcPr>
            <w:tcW w:w="97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3.80%</w:t>
            </w:r>
          </w:p>
        </w:tc>
      </w:tr>
      <w:tr w:rsidR="004B029D" w:rsidRPr="001F5232" w:rsidTr="0004054A">
        <w:trPr>
          <w:trHeight w:val="238"/>
        </w:trPr>
        <w:tc>
          <w:tcPr>
            <w:tcW w:w="326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Participation notes (own est.)</w:t>
            </w:r>
          </w:p>
        </w:tc>
        <w:tc>
          <w:tcPr>
            <w:tcW w:w="99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~2.3 bn</w:t>
            </w:r>
          </w:p>
        </w:tc>
        <w:tc>
          <w:tcPr>
            <w:tcW w:w="97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~55%</w:t>
            </w:r>
          </w:p>
        </w:tc>
      </w:tr>
    </w:tbl>
    <w:p w:rsidR="0004054A" w:rsidRPr="0004054A" w:rsidRDefault="004B029D" w:rsidP="0004054A">
      <w:pPr>
        <w:spacing w:after="8" w:line="216" w:lineRule="auto"/>
        <w:rPr>
          <w:rFonts w:ascii="Times New Roman" w:hAnsi="Times New Roman" w:cs="Times New Roman"/>
          <w:color w:val="111111"/>
        </w:rPr>
      </w:pPr>
      <w:r w:rsidRPr="001F5232">
        <w:rPr>
          <w:rFonts w:ascii="Times New Roman" w:hAnsi="Times New Roman" w:cs="Times New Roman"/>
          <w:color w:val="111111"/>
        </w:rPr>
        <w:t>Demand comes from capital-preserving savers with sector convictions, falling deposit rates and MiFID II suitability rules.</w:t>
      </w:r>
    </w:p>
    <w:p w:rsidR="004B029D" w:rsidRPr="001F5232" w:rsidRDefault="004B029D" w:rsidP="004B029D">
      <w:pPr>
        <w:keepNext/>
        <w:pBdr>
          <w:bottom w:val="single" w:sz="8" w:space="0" w:color="8B1A1A"/>
        </w:pBdr>
        <w:spacing w:before="6" w:after="7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PART 2: VALUATION OF CERTIFICATES</w:t>
      </w:r>
    </w:p>
    <w:p w:rsidR="004B029D" w:rsidRPr="001F5232" w:rsidRDefault="004B029D" w:rsidP="004B029D">
      <w:pPr>
        <w:shd w:val="clear" w:color="auto" w:fill="EFEFEF"/>
        <w:spacing w:after="3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111111"/>
        </w:rPr>
        <w:t xml:space="preserve">DU2076 Bonus Certificate with Cap on </w:t>
      </w:r>
      <w:r w:rsidR="00BE1BFD" w:rsidRPr="001F5232">
        <w:rPr>
          <w:rFonts w:ascii="Times New Roman" w:hAnsi="Times New Roman" w:cs="Times New Roman"/>
          <w:b/>
          <w:color w:val="111111"/>
        </w:rPr>
        <w:t>RHM.DE (</w:t>
      </w:r>
      <w:r w:rsidRPr="001F5232">
        <w:rPr>
          <w:rFonts w:ascii="Times New Roman" w:hAnsi="Times New Roman" w:cs="Times New Roman"/>
          <w:b/>
          <w:color w:val="111111"/>
        </w:rPr>
        <w:t>DZ BANK)</w:t>
      </w:r>
    </w:p>
    <w:p w:rsidR="004B029D" w:rsidRPr="001F5232" w:rsidRDefault="004B029D" w:rsidP="004B029D">
      <w:pPr>
        <w:shd w:val="clear" w:color="auto" w:fill="EFEFEF"/>
        <w:spacing w:after="3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Decomposition: Down-and-Out Put (K=2,000, B=1,050) + Capped Forward min(S_T, 2,000)</w:t>
      </w:r>
    </w:p>
    <w:p w:rsidR="004B029D" w:rsidRPr="001F5232" w:rsidRDefault="004B029D" w:rsidP="004B029D">
      <w:pPr>
        <w:shd w:val="clear" w:color="auto" w:fill="EFEFEF"/>
        <w:spacing w:after="3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B=EUR 1,050 (continuous) | Bonus/Cap K=EUR 2,000 | S at issue = EUR 1,707.93 | barrier intact</w:t>
      </w:r>
    </w:p>
    <w:p w:rsidR="004B029D" w:rsidRPr="001F5232" w:rsidRDefault="004B029D" w:rsidP="004B029D">
      <w:pPr>
        <w:shd w:val="clear" w:color="auto" w:fill="EFEFEF"/>
        <w:spacing w:after="6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Issued 04 Sep 2025, final valuation 18 Jun 2027 | Window: 04 Sep 2025 – 01 Jun 2026 (183 trading days, comfortably above the 100-day minimum)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V: Valuation with a Binomial Tree (N=500)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Daily inputs: maturity-matched ECB AAA Svensson rate (mean 2.14%, range 1.87–2.59%), 30-day rolling historical vol (mean 44.4%, range 26.3–58.6%), q=0.95%. The tree checks the barrier at every node. Black-Scholes cannot price the path-dependent knock-out.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2455"/>
      </w:tblGrid>
      <w:tr w:rsidR="00E615AD" w:rsidRPr="001F5232" w:rsidTr="00E615AD">
        <w:trPr>
          <w:trHeight w:val="245"/>
        </w:trPr>
        <w:tc>
          <w:tcPr>
            <w:tcW w:w="2835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5B3FF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Metric</w:t>
            </w:r>
          </w:p>
        </w:tc>
        <w:tc>
          <w:tcPr>
            <w:tcW w:w="2455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Value</w:t>
            </w:r>
          </w:p>
        </w:tc>
      </w:tr>
      <w:tr w:rsidR="00E615AD" w:rsidRPr="001F5232" w:rsidTr="00E615AD">
        <w:trPr>
          <w:trHeight w:val="245"/>
        </w:trPr>
        <w:tc>
          <w:tcPr>
            <w:tcW w:w="283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Mean Error (ME)</w:t>
            </w:r>
          </w:p>
        </w:tc>
        <w:tc>
          <w:tcPr>
            <w:tcW w:w="245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−94.25 EUR</w:t>
            </w:r>
          </w:p>
        </w:tc>
      </w:tr>
      <w:tr w:rsidR="00E615AD" w:rsidRPr="001F5232" w:rsidTr="00E615AD">
        <w:trPr>
          <w:trHeight w:val="245"/>
        </w:trPr>
        <w:tc>
          <w:tcPr>
            <w:tcW w:w="283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MAE</w:t>
            </w:r>
          </w:p>
        </w:tc>
        <w:tc>
          <w:tcPr>
            <w:tcW w:w="245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110.89 EUR</w:t>
            </w:r>
          </w:p>
        </w:tc>
      </w:tr>
      <w:tr w:rsidR="00E615AD" w:rsidRPr="001F5232" w:rsidTr="00E615AD">
        <w:trPr>
          <w:trHeight w:val="245"/>
        </w:trPr>
        <w:tc>
          <w:tcPr>
            <w:tcW w:w="283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RMSE</w:t>
            </w:r>
          </w:p>
        </w:tc>
        <w:tc>
          <w:tcPr>
            <w:tcW w:w="245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123.31 EUR</w:t>
            </w:r>
          </w:p>
        </w:tc>
      </w:tr>
      <w:tr w:rsidR="00E615AD" w:rsidRPr="001F5232" w:rsidTr="00E615AD">
        <w:trPr>
          <w:trHeight w:val="245"/>
        </w:trPr>
        <w:tc>
          <w:tcPr>
            <w:tcW w:w="283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MAPE</w:t>
            </w:r>
          </w:p>
        </w:tc>
        <w:tc>
          <w:tcPr>
            <w:tcW w:w="245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7.11%</w:t>
            </w:r>
          </w:p>
        </w:tc>
      </w:tr>
      <w:tr w:rsidR="00E615AD" w:rsidRPr="001F5232" w:rsidTr="00E615AD">
        <w:trPr>
          <w:trHeight w:val="245"/>
        </w:trPr>
        <w:tc>
          <w:tcPr>
            <w:tcW w:w="283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E615AD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Quartiles q25/q50/q75</w:t>
            </w:r>
          </w:p>
        </w:tc>
        <w:tc>
          <w:tcPr>
            <w:tcW w:w="245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−153.59 / −95.02 / −56.44</w:t>
            </w:r>
          </w:p>
        </w:tc>
      </w:tr>
    </w:tbl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model underprices the market throughout the window. The market prices DU2076 at an implied vol of 37.0% on average while the model uses realized vol (mean 44.4%). Vega is negative, so the higher vol input pushes the model price below the market. The remaining gap is DZ BANK's issuer margin.</w:t>
      </w:r>
    </w:p>
    <w:p w:rsidR="004B029D" w:rsidRPr="001F5232" w:rsidRDefault="004B029D" w:rsidP="004B029D">
      <w:pPr>
        <w:spacing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Best fit 18 Sep 2025 (EUR 3 error). Worst 05 Jan 2026 (EUR 245 error, realized vol 53.6% vs implied 35.3%).</w:t>
      </w:r>
    </w:p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5D90C43B" wp14:editId="15C4FFA6">
            <wp:extent cx="2572409" cy="1572768"/>
            <wp:effectExtent l="0" t="0" r="0" b="2540"/>
            <wp:docPr id="2" name="Picture 2" descr="A graph of a pr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of a pric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5475" cy="162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Pr="001F5232" w:rsidRDefault="004B029D" w:rsidP="004B029D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 xml:space="preserve">Fig. 2: </w:t>
      </w:r>
      <w:r w:rsidR="00041007">
        <w:rPr>
          <w:rFonts w:ascii="Times New Roman" w:hAnsi="Times New Roman" w:cs="Times New Roman"/>
          <w:i/>
          <w:color w:val="666666"/>
        </w:rPr>
        <w:t>Our</w:t>
      </w:r>
      <w:r w:rsidRPr="001F5232">
        <w:rPr>
          <w:rFonts w:ascii="Times New Roman" w:hAnsi="Times New Roman" w:cs="Times New Roman"/>
          <w:i/>
          <w:color w:val="666666"/>
        </w:rPr>
        <w:t xml:space="preserve"> model</w:t>
      </w:r>
      <w:r w:rsidR="00041007">
        <w:rPr>
          <w:rFonts w:ascii="Times New Roman" w:hAnsi="Times New Roman" w:cs="Times New Roman"/>
          <w:i/>
          <w:color w:val="666666"/>
        </w:rPr>
        <w:t xml:space="preserve"> price</w:t>
      </w:r>
      <w:r w:rsidRPr="001F5232">
        <w:rPr>
          <w:rFonts w:ascii="Times New Roman" w:hAnsi="Times New Roman" w:cs="Times New Roman"/>
          <w:i/>
          <w:color w:val="666666"/>
        </w:rPr>
        <w:t xml:space="preserve"> vs DU2076 market price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VI: Sensitivity Analysis (Greeks)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Greeks evaluated at S=EUR 1,708, T=1.79 y, σ=44.7% (median rolling vol). Certificate value EUR 1,443.73.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1"/>
        <w:gridCol w:w="941"/>
        <w:gridCol w:w="3662"/>
      </w:tblGrid>
      <w:tr w:rsidR="004B029D" w:rsidRPr="001F5232" w:rsidTr="00E615AD">
        <w:trPr>
          <w:trHeight w:val="240"/>
        </w:trPr>
        <w:tc>
          <w:tcPr>
            <w:tcW w:w="79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Greek</w:t>
            </w:r>
          </w:p>
        </w:tc>
        <w:tc>
          <w:tcPr>
            <w:tcW w:w="94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Value</w:t>
            </w:r>
          </w:p>
        </w:tc>
        <w:tc>
          <w:tcPr>
            <w:tcW w:w="3662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Key insight</w:t>
            </w:r>
          </w:p>
        </w:tc>
      </w:tr>
      <w:tr w:rsidR="004B029D" w:rsidRPr="001F5232" w:rsidTr="00E615AD">
        <w:trPr>
          <w:trHeight w:val="240"/>
        </w:trPr>
        <w:tc>
          <w:tcPr>
            <w:tcW w:w="7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Delta</w:t>
            </w:r>
          </w:p>
        </w:tc>
        <w:tc>
          <w:tcPr>
            <w:tcW w:w="94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0.515</w:t>
            </w:r>
          </w:p>
        </w:tc>
        <w:tc>
          <w:tcPr>
            <w:tcW w:w="366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Rises above 1 as S nears the barrier, falls near the cap</w:t>
            </w:r>
          </w:p>
        </w:tc>
      </w:tr>
      <w:tr w:rsidR="004B029D" w:rsidRPr="001F5232" w:rsidTr="00E615AD">
        <w:trPr>
          <w:trHeight w:val="240"/>
        </w:trPr>
        <w:tc>
          <w:tcPr>
            <w:tcW w:w="7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Gamma</w:t>
            </w:r>
          </w:p>
        </w:tc>
        <w:tc>
          <w:tcPr>
            <w:tcW w:w="94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−0.0006</w:t>
            </w:r>
          </w:p>
        </w:tc>
        <w:tc>
          <w:tcPr>
            <w:tcW w:w="3662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 xml:space="preserve">Negative </w:t>
            </w:r>
            <w:r w:rsidR="00E615AD">
              <w:rPr>
                <w:rFonts w:ascii="Times New Roman" w:hAnsi="Times New Roman" w:cs="Times New Roman"/>
                <w:color w:val="111111"/>
              </w:rPr>
              <w:t>at</w:t>
            </w:r>
            <w:r w:rsidRPr="001F5232">
              <w:rPr>
                <w:rFonts w:ascii="Times New Roman" w:hAnsi="Times New Roman" w:cs="Times New Roman"/>
                <w:color w:val="111111"/>
              </w:rPr>
              <w:t xml:space="preserve"> the cap, spikes at the barrier</w:t>
            </w:r>
          </w:p>
        </w:tc>
      </w:tr>
      <w:tr w:rsidR="004B029D" w:rsidRPr="001F5232" w:rsidTr="00E615AD">
        <w:trPr>
          <w:trHeight w:val="240"/>
        </w:trPr>
        <w:tc>
          <w:tcPr>
            <w:tcW w:w="7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Vega</w:t>
            </w:r>
          </w:p>
        </w:tc>
        <w:tc>
          <w:tcPr>
            <w:tcW w:w="94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−13.12</w:t>
            </w:r>
          </w:p>
        </w:tc>
        <w:tc>
          <w:tcPr>
            <w:tcW w:w="366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Negative: higher vol raises knock-out risk and the value of the short cap call</w:t>
            </w:r>
          </w:p>
        </w:tc>
      </w:tr>
    </w:tbl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Theta +0.52 EUR/day: passing time reduces barrier risk. Rho −12.1 EUR per +1pp: the bonus payment is discounted like a bond.</w:t>
      </w:r>
    </w:p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41905294" wp14:editId="58BCD859">
            <wp:extent cx="3582225" cy="1188720"/>
            <wp:effectExtent l="0" t="0" r="0" b="5080"/>
            <wp:docPr id="3" name="Picture 3" descr="A group of graphs showing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oup of graphs showing different color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4035" cy="119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Pr="001F5232" w:rsidRDefault="004B029D" w:rsidP="004B029D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 xml:space="preserve">Fig. 3: Delta, Gamma and Vega 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VII: Replicating Portfolio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Daily replication from the tree: V(t)=Δ(t)·S(t)+B(t). Delta ran from 0.20 to 1.06. The equity fraction Δ·S/V ran from 22% to 110% and was above 50% on 152 of 183 days. As RHM fell toward the barrier, Delta rose to 1 and the bond leg turned negative. The certificate concentrates stock exposure exactly when the market falls, the opposite of a capital-protected note. Below the barrier the payoff becomes a capped forward and the equity fraction sits near 81%, rising toward 98%.</w:t>
      </w:r>
    </w:p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5FC4AD57" wp14:editId="173AC8BC">
            <wp:extent cx="2757932" cy="1639851"/>
            <wp:effectExtent l="0" t="0" r="0" b="0"/>
            <wp:docPr id="4" name="Picture 4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of a graph of a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0475" cy="168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Pr="001F5232" w:rsidRDefault="004B029D" w:rsidP="004B029D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Fig. 4: Equity fraction (Δ×S / Value) vs stock price S.</w:t>
      </w:r>
    </w:p>
    <w:p w:rsidR="004B029D" w:rsidRPr="001F5232" w:rsidRDefault="004B029D" w:rsidP="004B029D">
      <w:pPr>
        <w:keepNext/>
        <w:pBdr>
          <w:bottom w:val="single" w:sz="8" w:space="0" w:color="8B1A1A"/>
        </w:pBdr>
        <w:spacing w:before="6" w:after="7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PART 3: PORTFOLIO INSURANCE STRATEGY</w:t>
      </w:r>
    </w:p>
    <w:p w:rsidR="004B029D" w:rsidRPr="00502D63" w:rsidRDefault="004B029D" w:rsidP="004B029D">
      <w:pPr>
        <w:shd w:val="clear" w:color="auto" w:fill="EFEFEF"/>
        <w:spacing w:after="3" w:line="216" w:lineRule="auto"/>
        <w:rPr>
          <w:rFonts w:ascii="Times New Roman" w:hAnsi="Times New Roman" w:cs="Times New Roman"/>
          <w:bCs/>
        </w:rPr>
      </w:pPr>
      <w:r w:rsidRPr="00502D63">
        <w:rPr>
          <w:rFonts w:ascii="Times New Roman" w:hAnsi="Times New Roman" w:cs="Times New Roman"/>
          <w:bCs/>
          <w:color w:val="111111"/>
        </w:rPr>
        <w:t>EUR 10,000 | T*=1 y | S₀=EUR 1,207 | Risk-neutral log-drift r−q−½σ² = −8.27% p.a. (historical drift 54.05% for reference only) | σ=45.57% (252-day) | r=3.07% (10y Svensson) | q=0.95%</w:t>
      </w:r>
    </w:p>
    <w:p w:rsidR="004B029D" w:rsidRPr="001F5232" w:rsidRDefault="004B029D" w:rsidP="004B029D">
      <w:pPr>
        <w:shd w:val="clear" w:color="auto" w:fill="EFEFEF"/>
        <w:spacing w:after="6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 xml:space="preserve">50,000 GBM paths × 252 steps | seed 2026 | </w:t>
      </w:r>
      <w:proofErr w:type="gramStart"/>
      <w:r w:rsidRPr="001F5232">
        <w:rPr>
          <w:rFonts w:ascii="Times New Roman" w:hAnsi="Times New Roman" w:cs="Times New Roman"/>
          <w:color w:val="111111"/>
        </w:rPr>
        <w:t>SE(</w:t>
      </w:r>
      <w:proofErr w:type="gramEnd"/>
      <w:r w:rsidRPr="001F5232">
        <w:rPr>
          <w:rFonts w:ascii="Times New Roman" w:hAnsi="Times New Roman" w:cs="Times New Roman"/>
          <w:color w:val="111111"/>
        </w:rPr>
        <w:t>mean)=0.221% | simple wealth returns | terminal range EUR 136–7,666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VIII: Without Risk Management</w:t>
      </w:r>
    </w:p>
    <w:p w:rsidR="004B029D" w:rsidRPr="001F5232" w:rsidRDefault="004B029D" w:rsidP="0099013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</w:rPr>
        <w:t>Mean=2.16% | Std=49.34% | Skew=1.60 | VaR₉₅=56.38% | CVaR₉₅=63.60%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simulated mean of +2.16% matches the risk-neutral benchmark e^(r−q)−1 = 2.14%. The negative log-drift is volatility drag, not a forecast of a falling stock. The distribution is strongly right-skewed with a heavy left tail. The unhedged 95% VaR of 56.38% is far above the 15% limit from Task XI, so the position must be hedged.</w:t>
      </w:r>
    </w:p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45339DE0" wp14:editId="683C8273">
            <wp:extent cx="2685032" cy="15965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0937" cy="16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Pr="001F5232" w:rsidRDefault="004B029D" w:rsidP="004B029D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Fig. 5: 1-year return distribution, unhedged.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IX: Portfolio Insurance (α × K grid)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portfolio holds (1−α) in stock and α in puts priced at σ=45.57%. α runs from 5% to 20%, strikes from 90% to 105% of S₀. VaR falls steeply up to α=10%, then turns U-shaped for strikes at or below 100%. Only K=105% keeps improving out to α=20%. The cheap 90% strike is best at α=10% (VaR 20.54%), near-the-money strikes win from α=15%. The grid minimum is α=15%, K=100% with VaR 14.73%. Larger put positions raise skew and barely change the mean. The table shows the K=105% strike used in Task XI.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"/>
        <w:gridCol w:w="747"/>
        <w:gridCol w:w="913"/>
        <w:gridCol w:w="747"/>
        <w:gridCol w:w="759"/>
        <w:gridCol w:w="799"/>
      </w:tblGrid>
      <w:tr w:rsidR="004B029D" w:rsidRPr="001F5232" w:rsidTr="0004054A">
        <w:trPr>
          <w:trHeight w:val="227"/>
          <w:jc w:val="center"/>
        </w:trPr>
        <w:tc>
          <w:tcPr>
            <w:tcW w:w="498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α</w:t>
            </w:r>
          </w:p>
        </w:tc>
        <w:tc>
          <w:tcPr>
            <w:tcW w:w="74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Mean</w:t>
            </w:r>
          </w:p>
        </w:tc>
        <w:tc>
          <w:tcPr>
            <w:tcW w:w="913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Std</w:t>
            </w:r>
          </w:p>
        </w:tc>
        <w:tc>
          <w:tcPr>
            <w:tcW w:w="74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Skew</w:t>
            </w:r>
          </w:p>
        </w:tc>
        <w:tc>
          <w:tcPr>
            <w:tcW w:w="74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F5232">
              <w:rPr>
                <w:rFonts w:ascii="Times New Roman" w:hAnsi="Times New Roman" w:cs="Times New Roman"/>
                <w:b/>
                <w:color w:val="FFFFFF"/>
              </w:rPr>
              <w:t>VaR</w:t>
            </w:r>
            <w:proofErr w:type="spellEnd"/>
            <w:r w:rsidRPr="001F5232">
              <w:rPr>
                <w:rFonts w:ascii="Times New Roman" w:hAnsi="Times New Roman" w:cs="Times New Roman"/>
                <w:b/>
                <w:color w:val="FFFFFF"/>
              </w:rPr>
              <w:t>₉₅</w:t>
            </w:r>
          </w:p>
        </w:tc>
        <w:tc>
          <w:tcPr>
            <w:tcW w:w="74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CVaR₉₅</w:t>
            </w:r>
          </w:p>
        </w:tc>
      </w:tr>
      <w:tr w:rsidR="004B029D" w:rsidRPr="001F5232" w:rsidTr="0004054A">
        <w:trPr>
          <w:trHeight w:val="227"/>
          <w:jc w:val="center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5%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2.20%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42.72%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2.01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42.84%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47.85%</w:t>
            </w:r>
          </w:p>
        </w:tc>
      </w:tr>
      <w:tr w:rsidR="004B029D" w:rsidRPr="001F5232" w:rsidTr="0004054A">
        <w:trPr>
          <w:trHeight w:val="227"/>
          <w:jc w:val="center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2.25%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36.51%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2.54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29.30%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32.10%</w:t>
            </w:r>
          </w:p>
        </w:tc>
      </w:tr>
      <w:tr w:rsidR="004B029D" w:rsidRPr="001F5232" w:rsidTr="0004054A">
        <w:trPr>
          <w:trHeight w:val="227"/>
          <w:jc w:val="center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15%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2.29%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30.98%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3.13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15.77%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16.36%</w:t>
            </w:r>
          </w:p>
        </w:tc>
      </w:tr>
      <w:tr w:rsidR="004B029D" w:rsidRPr="001F5232" w:rsidTr="0004054A">
        <w:trPr>
          <w:trHeight w:val="227"/>
          <w:jc w:val="center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2.33%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26.53%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3.55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14.92%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15.45%</w:t>
            </w:r>
          </w:p>
        </w:tc>
      </w:tr>
    </w:tbl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74655B14" wp14:editId="6F63FE48">
            <wp:extent cx="3490749" cy="1284514"/>
            <wp:effectExtent l="0" t="0" r="1905" b="0"/>
            <wp:docPr id="6" name="Picture 6" descr="A graph showing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aph showing different colored squar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0749" cy="128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Pr="001F5232" w:rsidRDefault="004B029D" w:rsidP="004B029D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Fig. 6: 95% VaR (left) and mean return (right) across α and K.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 xml:space="preserve">Task X: Stress </w:t>
      </w:r>
      <w:r w:rsidR="00A13C14" w:rsidRPr="001F5232">
        <w:rPr>
          <w:rFonts w:ascii="Times New Roman" w:hAnsi="Times New Roman" w:cs="Times New Roman"/>
          <w:b/>
          <w:color w:val="8B1A1A"/>
        </w:rPr>
        <w:t>Scenarios (</w:t>
      </w:r>
      <w:r w:rsidRPr="001F5232">
        <w:rPr>
          <w:rFonts w:ascii="Times New Roman" w:hAnsi="Times New Roman" w:cs="Times New Roman"/>
          <w:b/>
          <w:color w:val="8B1A1A"/>
        </w:rPr>
        <w:t>α=10%, K=95%S₀)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 xml:space="preserve">A ±5pp vol shock only changes the put purchase price. Costlier puts buy fewer contracts and VaR rises to 28.25%. Cheaper puts cut it to 18.44%. A −20% crash at mid-year turns the mean negative (−9.70%). Crash with vol +5pp is the worst case (VaR 30.58%, mean −11.64%). Crash with vol −5pp even beats the baseline VaR (19.11% vs 23.99%) because the cheap, larger put position ends up deep in the money. </w:t>
      </w:r>
      <w:r w:rsidR="00913313">
        <w:rPr>
          <w:rFonts w:ascii="Times New Roman" w:hAnsi="Times New Roman" w:cs="Times New Roman"/>
          <w:color w:val="111111"/>
        </w:rPr>
        <w:t>All</w:t>
      </w:r>
      <w:r w:rsidRPr="001F5232">
        <w:rPr>
          <w:rFonts w:ascii="Times New Roman" w:hAnsi="Times New Roman" w:cs="Times New Roman"/>
          <w:color w:val="111111"/>
        </w:rPr>
        <w:t xml:space="preserve"> six scenarios breach the 15% limit.</w:t>
      </w:r>
    </w:p>
    <w:tbl>
      <w:tblPr>
        <w:tblW w:w="5759" w:type="dxa"/>
        <w:tblLook w:val="04A0" w:firstRow="1" w:lastRow="0" w:firstColumn="1" w:lastColumn="0" w:noHBand="0" w:noVBand="1"/>
      </w:tblPr>
      <w:tblGrid>
        <w:gridCol w:w="1748"/>
        <w:gridCol w:w="883"/>
        <w:gridCol w:w="881"/>
        <w:gridCol w:w="611"/>
        <w:gridCol w:w="797"/>
        <w:gridCol w:w="839"/>
      </w:tblGrid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Scenario</w:t>
            </w:r>
          </w:p>
        </w:tc>
        <w:tc>
          <w:tcPr>
            <w:tcW w:w="763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Mean</w:t>
            </w:r>
          </w:p>
        </w:tc>
        <w:tc>
          <w:tcPr>
            <w:tcW w:w="895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Std</w:t>
            </w:r>
          </w:p>
        </w:tc>
        <w:tc>
          <w:tcPr>
            <w:tcW w:w="614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Skew</w:t>
            </w:r>
          </w:p>
        </w:tc>
        <w:tc>
          <w:tcPr>
            <w:tcW w:w="80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VaR₉₅</w:t>
            </w:r>
          </w:p>
        </w:tc>
        <w:tc>
          <w:tcPr>
            <w:tcW w:w="843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CVaR₉₅</w:t>
            </w:r>
          </w:p>
        </w:tc>
      </w:tr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Baseline</w:t>
            </w:r>
          </w:p>
        </w:tc>
        <w:tc>
          <w:tcPr>
            <w:tcW w:w="76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2.24%</w:t>
            </w:r>
          </w:p>
        </w:tc>
        <w:tc>
          <w:tcPr>
            <w:tcW w:w="89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36.21%</w:t>
            </w:r>
          </w:p>
        </w:tc>
        <w:tc>
          <w:tcPr>
            <w:tcW w:w="614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2.63</w:t>
            </w:r>
          </w:p>
        </w:tc>
        <w:tc>
          <w:tcPr>
            <w:tcW w:w="80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23.99%</w:t>
            </w:r>
          </w:p>
        </w:tc>
        <w:tc>
          <w:tcPr>
            <w:tcW w:w="84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25.33%</w:t>
            </w:r>
          </w:p>
        </w:tc>
      </w:tr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Vol +5pp</w:t>
            </w:r>
          </w:p>
        </w:tc>
        <w:tc>
          <w:tcPr>
            <w:tcW w:w="76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1.05%</w:t>
            </w:r>
          </w:p>
        </w:tc>
        <w:tc>
          <w:tcPr>
            <w:tcW w:w="89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37.02%</w:t>
            </w:r>
          </w:p>
        </w:tc>
        <w:tc>
          <w:tcPr>
            <w:tcW w:w="61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2.51</w:t>
            </w:r>
          </w:p>
        </w:tc>
        <w:tc>
          <w:tcPr>
            <w:tcW w:w="8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28.25%</w:t>
            </w:r>
          </w:p>
        </w:tc>
        <w:tc>
          <w:tcPr>
            <w:tcW w:w="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30.18%</w:t>
            </w:r>
          </w:p>
        </w:tc>
      </w:tr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Vol −5pp</w:t>
            </w:r>
          </w:p>
        </w:tc>
        <w:tc>
          <w:tcPr>
            <w:tcW w:w="76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3.80%</w:t>
            </w:r>
          </w:p>
        </w:tc>
        <w:tc>
          <w:tcPr>
            <w:tcW w:w="89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35.24%</w:t>
            </w:r>
          </w:p>
        </w:tc>
        <w:tc>
          <w:tcPr>
            <w:tcW w:w="614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2.77</w:t>
            </w:r>
          </w:p>
        </w:tc>
        <w:tc>
          <w:tcPr>
            <w:tcW w:w="80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18.44%</w:t>
            </w:r>
          </w:p>
        </w:tc>
        <w:tc>
          <w:tcPr>
            <w:tcW w:w="84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19.00%</w:t>
            </w:r>
          </w:p>
        </w:tc>
      </w:tr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−20% shock T/2</w:t>
            </w:r>
          </w:p>
        </w:tc>
        <w:tc>
          <w:tcPr>
            <w:tcW w:w="76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−9.70%</w:t>
            </w:r>
          </w:p>
        </w:tc>
        <w:tc>
          <w:tcPr>
            <w:tcW w:w="89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24.61%</w:t>
            </w:r>
          </w:p>
        </w:tc>
        <w:tc>
          <w:tcPr>
            <w:tcW w:w="61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3.41</w:t>
            </w:r>
          </w:p>
        </w:tc>
        <w:tc>
          <w:tcPr>
            <w:tcW w:w="8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25.61%</w:t>
            </w:r>
          </w:p>
        </w:tc>
        <w:tc>
          <w:tcPr>
            <w:tcW w:w="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26.67%</w:t>
            </w:r>
          </w:p>
        </w:tc>
      </w:tr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Shock &amp; vol +5pp</w:t>
            </w:r>
          </w:p>
        </w:tc>
        <w:tc>
          <w:tcPr>
            <w:tcW w:w="76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−11.64%</w:t>
            </w:r>
          </w:p>
        </w:tc>
        <w:tc>
          <w:tcPr>
            <w:tcW w:w="89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25.65%</w:t>
            </w:r>
          </w:p>
        </w:tc>
        <w:tc>
          <w:tcPr>
            <w:tcW w:w="61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3.16</w:t>
            </w:r>
          </w:p>
        </w:tc>
        <w:tc>
          <w:tcPr>
            <w:tcW w:w="8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30.58%</w:t>
            </w:r>
          </w:p>
        </w:tc>
        <w:tc>
          <w:tcPr>
            <w:tcW w:w="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32.13%</w:t>
            </w:r>
          </w:p>
        </w:tc>
      </w:tr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Shock &amp; vol −5pp</w:t>
            </w:r>
          </w:p>
        </w:tc>
        <w:tc>
          <w:tcPr>
            <w:tcW w:w="76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−7.17%</w:t>
            </w:r>
          </w:p>
        </w:tc>
        <w:tc>
          <w:tcPr>
            <w:tcW w:w="89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23.38%</w:t>
            </w:r>
          </w:p>
        </w:tc>
        <w:tc>
          <w:tcPr>
            <w:tcW w:w="61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3.72</w:t>
            </w:r>
          </w:p>
        </w:tc>
        <w:tc>
          <w:tcPr>
            <w:tcW w:w="8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19.11%</w:t>
            </w:r>
          </w:p>
        </w:tc>
        <w:tc>
          <w:tcPr>
            <w:tcW w:w="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19.55%</w:t>
            </w:r>
          </w:p>
        </w:tc>
      </w:tr>
    </w:tbl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 xml:space="preserve">Task XI: Optimal </w:t>
      </w:r>
      <w:proofErr w:type="spellStart"/>
      <w:r w:rsidRPr="001F5232">
        <w:rPr>
          <w:rFonts w:ascii="Times New Roman" w:hAnsi="Times New Roman" w:cs="Times New Roman"/>
          <w:b/>
          <w:color w:val="8B1A1A"/>
        </w:rPr>
        <w:t>VaR</w:t>
      </w:r>
      <w:proofErr w:type="spellEnd"/>
      <w:r w:rsidRPr="001F5232">
        <w:rPr>
          <w:rFonts w:ascii="Times New Roman" w:hAnsi="Times New Roman" w:cs="Times New Roman"/>
          <w:b/>
          <w:color w:val="8B1A1A"/>
        </w:rPr>
        <w:t>-Constrained Allocation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95% one-year VaR may not exceed 15%. The unhedged VaR of 56.38% forces a hedge. Searching α from 0% to 50% for every strike shows the 90% and 95% strikes never reach the limit (best VaR 19.33% and 16.67%). Only the 100% and 105% strikes can meet it.</w:t>
      </w:r>
    </w:p>
    <w:p w:rsidR="004B029D" w:rsidRPr="001F5232" w:rsidRDefault="004B029D" w:rsidP="004B029D">
      <w:pPr>
        <w:shd w:val="clear" w:color="auto" w:fill="8B1A1A"/>
        <w:spacing w:before="22" w:after="22" w:line="216" w:lineRule="auto"/>
        <w:jc w:val="center"/>
        <w:rPr>
          <w:rFonts w:ascii="Times New Roman" w:hAnsi="Times New Roman" w:cs="Times New Roman"/>
          <w:bCs/>
        </w:rPr>
      </w:pPr>
      <w:r w:rsidRPr="001F5232">
        <w:rPr>
          <w:rFonts w:ascii="Times New Roman" w:hAnsi="Times New Roman" w:cs="Times New Roman"/>
          <w:bCs/>
          <w:color w:val="FFFFFF"/>
        </w:rPr>
        <w:t>The constraint binds at α=15.30% with K*=105% (VaR 14.99%). Recommended allocation: α*=15.50%, VaR 14.41%, E[r]=2.29%. The 100% strike is a close runner-up (α=14.20%, VaR 14.49%).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That allocation puts EUR 8,450 in the stock and EUR 1,550 in one-year puts struck at EUR 1,267, for a VaR of 14.41%, 0.59pp under the ceiling. A risk manager sizes below a VaR limit rather than exactly on it, and here the buffer costs nothing in expected return.</w:t>
      </w:r>
    </w:p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6A1EFF46" wp14:editId="423408A8">
            <wp:extent cx="2684145" cy="1595977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6681" cy="161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6E" w:rsidRPr="001F5232" w:rsidRDefault="004B029D" w:rsidP="004B029D">
      <w:pPr>
        <w:keepNext/>
        <w:pBdr>
          <w:bottom w:val="single" w:sz="8" w:space="0" w:color="8B1A1A"/>
        </w:pBdr>
        <w:spacing w:before="6" w:after="7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Fig. 7: 95% VaR vs α for all four strikes, with the 15% limit, binding point and α*=15.50% marked.</w:t>
      </w:r>
    </w:p>
    <w:p w:rsidR="004B029D" w:rsidRPr="001F5232" w:rsidRDefault="004B029D" w:rsidP="004B029D">
      <w:pPr>
        <w:spacing w:after="4" w:line="216" w:lineRule="auto"/>
        <w:rPr>
          <w:rFonts w:ascii="Times New Roman" w:hAnsi="Times New Roman" w:cs="Times New Roman"/>
        </w:rPr>
      </w:pPr>
    </w:p>
    <w:sectPr w:rsidR="004B029D" w:rsidRPr="001F5232" w:rsidSect="004B029D">
      <w:type w:val="continuous"/>
      <w:pgSz w:w="23820" w:h="16840" w:orient="landscape"/>
      <w:pgMar w:top="567" w:right="567" w:bottom="567" w:left="567" w:header="720" w:footer="720" w:gutter="0"/>
      <w:cols w:num="4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4E63" w:rsidRDefault="006B4E63" w:rsidP="00BE1BFD">
      <w:pPr>
        <w:spacing w:after="0" w:line="240" w:lineRule="auto"/>
      </w:pPr>
      <w:r>
        <w:separator/>
      </w:r>
    </w:p>
  </w:endnote>
  <w:endnote w:type="continuationSeparator" w:id="0">
    <w:p w:rsidR="006B4E63" w:rsidRDefault="006B4E63" w:rsidP="00BE1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1BFD" w:rsidRDefault="00BE1B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1BFD" w:rsidRDefault="00BE1B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1BFD" w:rsidRDefault="00BE1B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4E63" w:rsidRDefault="006B4E63" w:rsidP="00BE1BFD">
      <w:pPr>
        <w:spacing w:after="0" w:line="240" w:lineRule="auto"/>
      </w:pPr>
      <w:r>
        <w:separator/>
      </w:r>
    </w:p>
  </w:footnote>
  <w:footnote w:type="continuationSeparator" w:id="0">
    <w:p w:rsidR="006B4E63" w:rsidRDefault="006B4E63" w:rsidP="00BE1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1BFD" w:rsidRDefault="00BE1B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1BFD" w:rsidRDefault="00BE1B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1BFD" w:rsidRDefault="00BE1B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321337">
    <w:abstractNumId w:val="8"/>
  </w:num>
  <w:num w:numId="2" w16cid:durableId="1913588645">
    <w:abstractNumId w:val="6"/>
  </w:num>
  <w:num w:numId="3" w16cid:durableId="700084703">
    <w:abstractNumId w:val="5"/>
  </w:num>
  <w:num w:numId="4" w16cid:durableId="1862626468">
    <w:abstractNumId w:val="4"/>
  </w:num>
  <w:num w:numId="5" w16cid:durableId="2007899203">
    <w:abstractNumId w:val="7"/>
  </w:num>
  <w:num w:numId="6" w16cid:durableId="1759280400">
    <w:abstractNumId w:val="3"/>
  </w:num>
  <w:num w:numId="7" w16cid:durableId="1550998426">
    <w:abstractNumId w:val="2"/>
  </w:num>
  <w:num w:numId="8" w16cid:durableId="1789080371">
    <w:abstractNumId w:val="1"/>
  </w:num>
  <w:num w:numId="9" w16cid:durableId="66316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3FC"/>
    <w:rsid w:val="00034616"/>
    <w:rsid w:val="00035E7D"/>
    <w:rsid w:val="0004054A"/>
    <w:rsid w:val="00041007"/>
    <w:rsid w:val="0006063C"/>
    <w:rsid w:val="0015074B"/>
    <w:rsid w:val="001F5232"/>
    <w:rsid w:val="00283F20"/>
    <w:rsid w:val="0029639D"/>
    <w:rsid w:val="002F5100"/>
    <w:rsid w:val="00326F90"/>
    <w:rsid w:val="00383215"/>
    <w:rsid w:val="003D0AF7"/>
    <w:rsid w:val="0049193B"/>
    <w:rsid w:val="004B029D"/>
    <w:rsid w:val="00502D63"/>
    <w:rsid w:val="005434FB"/>
    <w:rsid w:val="00562680"/>
    <w:rsid w:val="00581CB2"/>
    <w:rsid w:val="006671C1"/>
    <w:rsid w:val="006B4E63"/>
    <w:rsid w:val="0070500F"/>
    <w:rsid w:val="00877D39"/>
    <w:rsid w:val="008828E0"/>
    <w:rsid w:val="00883804"/>
    <w:rsid w:val="00913313"/>
    <w:rsid w:val="009230C7"/>
    <w:rsid w:val="0099013D"/>
    <w:rsid w:val="009C0B6E"/>
    <w:rsid w:val="00A13C14"/>
    <w:rsid w:val="00AA1D8D"/>
    <w:rsid w:val="00B2112D"/>
    <w:rsid w:val="00B45957"/>
    <w:rsid w:val="00B47730"/>
    <w:rsid w:val="00BE1BFD"/>
    <w:rsid w:val="00BF6AC2"/>
    <w:rsid w:val="00CB0664"/>
    <w:rsid w:val="00CF25E0"/>
    <w:rsid w:val="00D25BF7"/>
    <w:rsid w:val="00D81446"/>
    <w:rsid w:val="00E529AE"/>
    <w:rsid w:val="00E615AD"/>
    <w:rsid w:val="00EE71D7"/>
    <w:rsid w:val="00F71456"/>
    <w:rsid w:val="00FA6E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6F39C"/>
  <w14:defaultImageDpi w14:val="300"/>
  <w15:docId w15:val="{F7B91E12-B843-5A46-8F72-A637ADFE7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455E19-3080-3B45-8CA5-0FBD15EF92C3}">
  <we:reference id="wa200010725" version="1.0.0.1" store="en-GB" storeType="OMEX"/>
  <we:alternateReferences>
    <we:reference id="WA200010725" version="1.0.0.1" store="" storeType="OMEX"/>
  </we:alternateReferences>
  <we:properties>
    <we:property name="claude.fileId" value="&quot;cc96b186-208a-4743-9849-c2324bf5d1b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1300</Words>
  <Characters>6530</Characters>
  <Application>Microsoft Office Word</Application>
  <DocSecurity>0</DocSecurity>
  <Lines>310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daanish muzaffar</cp:lastModifiedBy>
  <cp:revision>3</cp:revision>
  <cp:lastPrinted>2026-07-05T12:05:00Z</cp:lastPrinted>
  <dcterms:created xsi:type="dcterms:W3CDTF">2026-07-05T12:05:00Z</dcterms:created>
  <dcterms:modified xsi:type="dcterms:W3CDTF">2026-07-05T12:06:00Z</dcterms:modified>
  <cp:category/>
</cp:coreProperties>
</file>