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3606"/>
        <w:gridCol w:w="4535"/>
      </w:tblGrid>
      <w:tr w:rsidR="00263C30">
        <w:trPr>
          <w:jc w:val="center"/>
        </w:trPr>
        <w:tc>
          <w:tcPr>
            <w:tcW w:w="4535" w:type="dxa"/>
            <w:shd w:val="clear" w:color="auto" w:fill="0C447C"/>
          </w:tcPr>
          <w:p w:rsidR="00263C30" w:rsidRDefault="00000000">
            <w:pPr>
              <w:spacing w:before="80"/>
            </w:pPr>
            <w:r>
              <w:rPr>
                <w:b/>
                <w:color w:val="FFFFFF"/>
                <w:sz w:val="17"/>
              </w:rPr>
              <w:t>Name: [Your Name]   |   Student ID: [Your ID]</w:t>
            </w:r>
          </w:p>
          <w:p w:rsidR="00263C30" w:rsidRDefault="00000000">
            <w:pPr>
              <w:spacing w:after="80"/>
            </w:pPr>
            <w:r>
              <w:rPr>
                <w:color w:val="B5D4F4"/>
                <w:sz w:val="15"/>
              </w:rPr>
              <w:t>Discussion partners: [Fellow students]</w:t>
            </w:r>
          </w:p>
        </w:tc>
        <w:tc>
          <w:tcPr>
            <w:tcW w:w="13606" w:type="dxa"/>
            <w:shd w:val="clear" w:color="auto" w:fill="0C447C"/>
          </w:tcPr>
          <w:p w:rsidR="00263C30" w:rsidRDefault="00000000">
            <w:pPr>
              <w:spacing w:before="60"/>
              <w:jc w:val="center"/>
            </w:pPr>
            <w:r>
              <w:rPr>
                <w:color w:val="B5D4F4"/>
              </w:rPr>
              <w:t xml:space="preserve">B401 Continuous-Time Derivatives Pricing  |  </w:t>
            </w:r>
            <w:r>
              <w:rPr>
                <w:b/>
                <w:color w:val="FFFFFF"/>
              </w:rPr>
              <w:t>Take-Home Assignment – Summer Term 2026</w:t>
            </w:r>
          </w:p>
          <w:p w:rsidR="00263C30" w:rsidRDefault="00000000">
            <w:pPr>
              <w:spacing w:after="80"/>
              <w:jc w:val="center"/>
            </w:pPr>
            <w:r>
              <w:rPr>
                <w:color w:val="378ADD"/>
                <w:sz w:val="16"/>
              </w:rPr>
              <w:t>Bonus Certificate on Rheinmetall AG (RHM.DE)  ·  Barrier 70% of S₀  ·  Bonus Level 115%  ·  T = 3 Years</w:t>
            </w:r>
          </w:p>
        </w:tc>
        <w:tc>
          <w:tcPr>
            <w:tcW w:w="4535" w:type="dxa"/>
            <w:shd w:val="clear" w:color="auto" w:fill="0C447C"/>
          </w:tcPr>
          <w:p w:rsidR="00263C30" w:rsidRDefault="00000000">
            <w:pPr>
              <w:spacing w:before="80"/>
              <w:jc w:val="right"/>
            </w:pPr>
            <w:r>
              <w:rPr>
                <w:b/>
                <w:color w:val="FFFFFF"/>
                <w:sz w:val="17"/>
              </w:rPr>
              <w:t>Eberhard Karls Universität Tübingen</w:t>
            </w:r>
          </w:p>
          <w:p w:rsidR="00263C30" w:rsidRDefault="00000000">
            <w:pPr>
              <w:jc w:val="right"/>
            </w:pPr>
            <w:r>
              <w:rPr>
                <w:color w:val="B5D4F4"/>
                <w:sz w:val="15"/>
              </w:rPr>
              <w:t>Faculty of Economics and Social Sciences</w:t>
            </w:r>
          </w:p>
          <w:p w:rsidR="00263C30" w:rsidRDefault="00000000">
            <w:pPr>
              <w:spacing w:after="80"/>
              <w:jc w:val="right"/>
            </w:pPr>
            <w:r>
              <w:rPr>
                <w:color w:val="B5D4F4"/>
                <w:sz w:val="15"/>
              </w:rPr>
              <w:t>Department of Finance  |  Prof. Dr. C. Koziol</w:t>
            </w:r>
          </w:p>
        </w:tc>
      </w:tr>
    </w:tbl>
    <w:p w:rsidR="00263C30" w:rsidRDefault="00263C30">
      <w:pPr>
        <w:spacing w:after="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0"/>
        <w:gridCol w:w="7654"/>
        <w:gridCol w:w="7654"/>
      </w:tblGrid>
      <w:tr w:rsidR="00263C30">
        <w:trPr>
          <w:jc w:val="center"/>
        </w:trPr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</w:tcPr>
          <w:p w:rsidR="00263C30" w:rsidRDefault="00263C30"/>
          <w:p w:rsidR="00263C30" w:rsidRDefault="00000000">
            <w:pPr>
              <w:spacing w:after="60"/>
            </w:pPr>
            <w:r>
              <w:rPr>
                <w:b/>
                <w:color w:val="0C447C"/>
                <w:sz w:val="20"/>
              </w:rPr>
              <w:t>PART 1 – CERTIFICATE DESIGN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144"/>
            </w:tblGrid>
            <w:tr w:rsidR="00263C30">
              <w:tc>
                <w:tcPr>
                  <w:tcW w:w="7370" w:type="dxa"/>
                  <w:shd w:val="clear" w:color="auto" w:fill="E6F1FB"/>
                </w:tcPr>
                <w:p w:rsidR="00263C30" w:rsidRDefault="00000000">
                  <w:pPr>
                    <w:spacing w:before="40" w:after="40" w:line="234" w:lineRule="exact"/>
                  </w:pPr>
                  <w:r>
                    <w:rPr>
                      <w:b/>
                      <w:color w:val="0C447C"/>
                    </w:rPr>
                    <w:t xml:space="preserve">  I. Investor Profile</w:t>
                  </w:r>
                </w:p>
              </w:tc>
            </w:tr>
            <w:tr w:rsidR="00263C30">
              <w:tc>
                <w:tcPr>
                  <w:tcW w:w="7370" w:type="dxa"/>
                  <w:shd w:val="clear" w:color="auto" w:fill="F1EFE8"/>
                </w:tcPr>
                <w:p w:rsidR="00263C30" w:rsidRDefault="00263C30">
                  <w:pPr>
                    <w:spacing w:before="40"/>
                  </w:pP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Age / Horizon: </w:t>
                  </w:r>
                  <w:r>
                    <w:rPr>
                      <w:color w:val="000000"/>
                      <w:sz w:val="17"/>
                    </w:rPr>
                    <w:t>60–65 years old, 15-year investment horizon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Risk tolerance: </w:t>
                  </w:r>
                  <w:proofErr w:type="gramStart"/>
                  <w:r>
                    <w:rPr>
                      <w:color w:val="000000"/>
                      <w:sz w:val="17"/>
                    </w:rPr>
                    <w:t>High</w:t>
                  </w:r>
                  <w:r w:rsidR="00AE65F5">
                    <w:rPr>
                      <w:color w:val="000000"/>
                      <w:sz w:val="17"/>
                    </w:rPr>
                    <w:t xml:space="preserve"> </w:t>
                  </w:r>
                  <w:r>
                    <w:rPr>
                      <w:color w:val="000000"/>
                      <w:sz w:val="17"/>
                    </w:rPr>
                    <w:t xml:space="preserve"> growth</w:t>
                  </w:r>
                  <w:proofErr w:type="gramEnd"/>
                  <w:r>
                    <w:rPr>
                      <w:color w:val="000000"/>
                      <w:sz w:val="17"/>
                    </w:rPr>
                    <w:t>-oriented, not income-dependent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Market view: </w:t>
                  </w:r>
                  <w:r>
                    <w:rPr>
                      <w:color w:val="000000"/>
                      <w:sz w:val="17"/>
                    </w:rPr>
                    <w:t>Bullish on European defence &amp; NATO rearmament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Goal: </w:t>
                  </w:r>
                  <w:r>
                    <w:rPr>
                      <w:color w:val="000000"/>
                      <w:sz w:val="17"/>
                    </w:rPr>
                    <w:t>Maximum long-term capital appreciation; accepts high volatility</w:t>
                  </w:r>
                </w:p>
                <w:p w:rsidR="00263C30" w:rsidRDefault="00000000">
                  <w:pPr>
                    <w:spacing w:before="40" w:after="60"/>
                  </w:pPr>
                  <w:r>
                    <w:rPr>
                      <w:b/>
                      <w:color w:val="0F6E56"/>
                      <w:sz w:val="17"/>
                    </w:rPr>
                    <w:t xml:space="preserve">Why not direct stock? </w:t>
                  </w:r>
                  <w:r>
                    <w:rPr>
                      <w:color w:val="000000"/>
                      <w:sz w:val="17"/>
                    </w:rPr>
                    <w:t>A direct position offers no downside buffer. The Bonus Certificate provides a 30% protection corridor while maintaining full 1:1 upside participation – superior risk/return for this investor profile.</w:t>
                  </w:r>
                </w:p>
              </w:tc>
            </w:tr>
          </w:tbl>
          <w:p w:rsidR="00263C30" w:rsidRDefault="00263C30"/>
          <w:p w:rsidR="00263C30" w:rsidRDefault="00263C30">
            <w:pPr>
              <w:spacing w:after="8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144"/>
            </w:tblGrid>
            <w:tr w:rsidR="00263C30">
              <w:tc>
                <w:tcPr>
                  <w:tcW w:w="7370" w:type="dxa"/>
                  <w:shd w:val="clear" w:color="auto" w:fill="E6F1FB"/>
                </w:tcPr>
                <w:p w:rsidR="00263C30" w:rsidRDefault="00000000">
                  <w:pPr>
                    <w:spacing w:before="40" w:after="40" w:line="234" w:lineRule="exact"/>
                  </w:pPr>
                  <w:r>
                    <w:rPr>
                      <w:b/>
                      <w:color w:val="0C447C"/>
                    </w:rPr>
                    <w:t xml:space="preserve">  II. Product Design – Bonus Certificate on RHM.DE</w:t>
                  </w:r>
                </w:p>
              </w:tc>
            </w:tr>
            <w:tr w:rsidR="00263C30">
              <w:tc>
                <w:tcPr>
                  <w:tcW w:w="7370" w:type="dxa"/>
                  <w:shd w:val="clear" w:color="auto" w:fill="F1EFE8"/>
                </w:tcPr>
                <w:p w:rsidR="00263C30" w:rsidRDefault="00000000">
                  <w:pPr>
                    <w:spacing w:before="60"/>
                  </w:pPr>
                  <w:r>
                    <w:rPr>
                      <w:b/>
                      <w:color w:val="0C447C"/>
                      <w:sz w:val="17"/>
                    </w:rPr>
                    <w:t xml:space="preserve">Replication:  </w:t>
                  </w:r>
                  <w:r>
                    <w:rPr>
                      <w:i/>
                      <w:color w:val="0F6E56"/>
                    </w:rPr>
                    <w:t>Bonus Cert  =  Forward  +  Down-and-Out Put(K=Bonus, B=Barrier)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04"/>
                    <w:gridCol w:w="2305"/>
                    <w:gridCol w:w="2309"/>
                  </w:tblGrid>
                  <w:tr w:rsidR="00263C30">
                    <w:tc>
                      <w:tcPr>
                        <w:tcW w:w="2457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Component</w:t>
                        </w:r>
                      </w:p>
                    </w:tc>
                    <w:tc>
                      <w:tcPr>
                        <w:tcW w:w="2457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2457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Role</w:t>
                        </w:r>
                      </w:p>
                    </w:tc>
                  </w:tr>
                  <w:tr w:rsidR="00263C30">
                    <w:tc>
                      <w:tcPr>
                        <w:tcW w:w="245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Long Forward</w:t>
                        </w:r>
                      </w:p>
                    </w:tc>
                    <w:tc>
                      <w:tcPr>
                        <w:tcW w:w="245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Equity forward</w:t>
                        </w:r>
                      </w:p>
                    </w:tc>
                    <w:tc>
                      <w:tcPr>
                        <w:tcW w:w="245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Full 1:1 upside participation</w:t>
                        </w:r>
                      </w:p>
                    </w:tc>
                  </w:tr>
                  <w:tr w:rsidR="00263C30">
                    <w:tc>
                      <w:tcPr>
                        <w:tcW w:w="245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Down-and-Out Put</w:t>
                        </w:r>
                      </w:p>
                    </w:tc>
                    <w:tc>
                      <w:tcPr>
                        <w:tcW w:w="245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Barrier option (Rubinstein-Reiner)</w:t>
                        </w:r>
                      </w:p>
                    </w:tc>
                    <w:tc>
                      <w:tcPr>
                        <w:tcW w:w="245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Guarantees bonus if barrier intact</w:t>
                        </w:r>
                      </w:p>
                    </w:tc>
                  </w:tr>
                </w:tbl>
                <w:p w:rsidR="00263C30" w:rsidRDefault="00263C30"/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Underlying: </w:t>
                  </w:r>
                  <w:r>
                    <w:rPr>
                      <w:color w:val="000000"/>
                      <w:sz w:val="17"/>
                    </w:rPr>
                    <w:t>Rheinmetall AG (RHM.DE), DAX constituent, defence &amp; security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Barrier: </w:t>
                  </w:r>
                  <w:r>
                    <w:rPr>
                      <w:color w:val="000000"/>
                      <w:sz w:val="17"/>
                    </w:rPr>
                    <w:t>70% of S₀  →  30% protection buffer before bonus is lost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Bonus level: </w:t>
                  </w:r>
                  <w:r>
                    <w:rPr>
                      <w:color w:val="000000"/>
                      <w:sz w:val="17"/>
                    </w:rPr>
                    <w:t>115% of S₀  →  ≥15% guaranteed return if barrier holds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Maturity: </w:t>
                  </w:r>
                  <w:r>
                    <w:rPr>
                      <w:color w:val="000000"/>
                      <w:sz w:val="17"/>
                    </w:rPr>
                    <w:t>3 years  ·  Participation: 1:1 uncapped above bonus level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Pricing: </w:t>
                  </w:r>
                  <w:r>
                    <w:rPr>
                      <w:color w:val="000000"/>
                      <w:sz w:val="17"/>
                    </w:rPr>
                    <w:t>Black-Scholes + Rubinstein-Reiner (1991) closed-form barrier formula</w:t>
                  </w:r>
                </w:p>
                <w:p w:rsidR="00263C30" w:rsidRDefault="00000000">
                  <w:pPr>
                    <w:spacing w:before="20" w:after="60"/>
                  </w:pPr>
                  <w:r>
                    <w:rPr>
                      <w:b/>
                      <w:color w:val="0C447C"/>
                      <w:sz w:val="17"/>
                    </w:rPr>
                    <w:t xml:space="preserve">Div. yield: </w:t>
                  </w:r>
                  <w:r>
                    <w:rPr>
                      <w:color w:val="000000"/>
                      <w:sz w:val="17"/>
                    </w:rPr>
                    <w:t>~0.8% (low → put more expensive, higher barrier sensitivity)</w:t>
                  </w:r>
                </w:p>
              </w:tc>
            </w:tr>
          </w:tbl>
          <w:p w:rsidR="00263C30" w:rsidRDefault="00263C30"/>
          <w:p w:rsidR="00263C30" w:rsidRDefault="00263C30">
            <w:pPr>
              <w:spacing w:after="8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144"/>
            </w:tblGrid>
            <w:tr w:rsidR="00263C30">
              <w:tc>
                <w:tcPr>
                  <w:tcW w:w="7370" w:type="dxa"/>
                  <w:shd w:val="clear" w:color="auto" w:fill="E6F1FB"/>
                </w:tcPr>
                <w:p w:rsidR="00263C30" w:rsidRDefault="00000000">
                  <w:pPr>
                    <w:spacing w:before="40" w:after="40" w:line="234" w:lineRule="exact"/>
                  </w:pPr>
                  <w:r>
                    <w:rPr>
                      <w:b/>
                      <w:color w:val="0C447C"/>
                    </w:rPr>
                    <w:t xml:space="preserve">  III. Payoff Profile</w:t>
                  </w:r>
                </w:p>
              </w:tc>
            </w:tr>
            <w:tr w:rsidR="00263C30">
              <w:tc>
                <w:tcPr>
                  <w:tcW w:w="7370" w:type="dxa"/>
                  <w:shd w:val="clear" w:color="auto" w:fill="F1EFE8"/>
                </w:tcPr>
                <w:p w:rsidR="00263C30" w:rsidRDefault="00263C30"/>
                <w:p w:rsidR="00263C30" w:rsidRDefault="00000000">
                  <w:pPr>
                    <w:spacing w:before="60" w:after="40"/>
                  </w:pPr>
                  <w:r>
                    <w:rPr>
                      <w:i/>
                      <w:color w:val="888780"/>
                      <w:sz w:val="16"/>
                    </w:rPr>
                    <w:t>[INSERT payoff_profile.png – generated by Jupyter notebook]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284"/>
                    <w:gridCol w:w="2310"/>
                    <w:gridCol w:w="2324"/>
                  </w:tblGrid>
                  <w:tr w:rsidR="00263C30">
                    <w:tc>
                      <w:tcPr>
                        <w:tcW w:w="2457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Market scenario at maturity</w:t>
                        </w:r>
                      </w:p>
                    </w:tc>
                    <w:tc>
                      <w:tcPr>
                        <w:tcW w:w="2457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Certificate payoff</w:t>
                        </w:r>
                      </w:p>
                    </w:tc>
                    <w:tc>
                      <w:tcPr>
                        <w:tcW w:w="2457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vs direct stock</w:t>
                        </w:r>
                      </w:p>
                    </w:tc>
                  </w:tr>
                  <w:tr w:rsidR="00263C30">
                    <w:tc>
                      <w:tcPr>
                        <w:tcW w:w="245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S_T &gt; 115% S₀  (strong bull market)</w:t>
                        </w:r>
                      </w:p>
                    </w:tc>
                    <w:tc>
                      <w:tcPr>
                        <w:tcW w:w="245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S_T  (full participation)</w:t>
                        </w:r>
                      </w:p>
                    </w:tc>
                    <w:tc>
                      <w:tcPr>
                        <w:tcW w:w="245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Equal</w:t>
                        </w:r>
                      </w:p>
                    </w:tc>
                  </w:tr>
                  <w:tr w:rsidR="00263C30">
                    <w:tc>
                      <w:tcPr>
                        <w:tcW w:w="245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70% &lt; S_T ≤ 115% S₀  (sideways / mild decline)</w:t>
                        </w:r>
                      </w:p>
                    </w:tc>
                    <w:tc>
                      <w:tcPr>
                        <w:tcW w:w="245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115% · S₀  (guaranteed bonus)</w:t>
                        </w:r>
                      </w:p>
                    </w:tc>
                    <w:tc>
                      <w:tcPr>
                        <w:tcW w:w="245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OUTPERFORMS ✓</w:t>
                        </w:r>
                      </w:p>
                    </w:tc>
                  </w:tr>
                  <w:tr w:rsidR="00263C30">
                    <w:tc>
                      <w:tcPr>
                        <w:tcW w:w="245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Barrier breached at any t ∈ [0,T]</w:t>
                        </w:r>
                      </w:p>
                    </w:tc>
                    <w:tc>
                      <w:tcPr>
                        <w:tcW w:w="245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S_T  (protection lost permanently)</w:t>
                        </w:r>
                      </w:p>
                    </w:tc>
                    <w:tc>
                      <w:tcPr>
                        <w:tcW w:w="245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Equal (cert behaves like stock)</w:t>
                        </w:r>
                      </w:p>
                    </w:tc>
                  </w:tr>
                </w:tbl>
                <w:p w:rsidR="00263C30" w:rsidRDefault="00263C30">
                  <w:pPr>
                    <w:spacing w:after="60"/>
                  </w:pPr>
                </w:p>
              </w:tc>
            </w:tr>
          </w:tbl>
          <w:p w:rsidR="00263C30" w:rsidRDefault="00263C30"/>
          <w:p w:rsidR="00263C30" w:rsidRDefault="00263C30">
            <w:pPr>
              <w:spacing w:after="8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144"/>
            </w:tblGrid>
            <w:tr w:rsidR="00263C30">
              <w:tc>
                <w:tcPr>
                  <w:tcW w:w="7370" w:type="dxa"/>
                  <w:shd w:val="clear" w:color="auto" w:fill="E6F1FB"/>
                </w:tcPr>
                <w:p w:rsidR="00263C30" w:rsidRDefault="00000000">
                  <w:pPr>
                    <w:spacing w:before="40" w:after="40" w:line="234" w:lineRule="exact"/>
                  </w:pPr>
                  <w:r>
                    <w:rPr>
                      <w:b/>
                      <w:color w:val="0C447C"/>
                    </w:rPr>
                    <w:t xml:space="preserve">  IV. German Market Size Estimation</w:t>
                  </w:r>
                </w:p>
              </w:tc>
            </w:tr>
            <w:tr w:rsidR="00263C30">
              <w:tc>
                <w:tcPr>
                  <w:tcW w:w="7370" w:type="dxa"/>
                  <w:shd w:val="clear" w:color="auto" w:fill="F1EFE8"/>
                </w:tcPr>
                <w:p w:rsidR="00263C30" w:rsidRDefault="00263C30">
                  <w:pPr>
                    <w:spacing w:before="40"/>
                  </w:pP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Total structured product market (BSW 2023): </w:t>
                  </w:r>
                  <w:r>
                    <w:rPr>
                      <w:color w:val="000000"/>
                      <w:sz w:val="17"/>
                    </w:rPr>
                    <w:t>€112 billion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Bonus certificate market share: </w:t>
                  </w:r>
                  <w:r>
                    <w:rPr>
                      <w:color w:val="000000"/>
                      <w:sz w:val="17"/>
                    </w:rPr>
                    <w:t>1.07%  →  ≈ €1.2 billion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Demand driver: </w:t>
                  </w:r>
                  <w:r>
                    <w:rPr>
                      <w:color w:val="000000"/>
                      <w:sz w:val="17"/>
                    </w:rPr>
                    <w:t>Growth-oriented retail investors bullish on DAX defence names</w:t>
                  </w:r>
                </w:p>
                <w:p w:rsidR="00263C30" w:rsidRDefault="00000000">
                  <w:pPr>
                    <w:spacing w:before="20" w:after="60"/>
                  </w:pPr>
                  <w:r>
                    <w:rPr>
                      <w:b/>
                      <w:color w:val="0C447C"/>
                      <w:sz w:val="17"/>
                    </w:rPr>
                    <w:t xml:space="preserve">Comparable: </w:t>
                  </w:r>
                  <w:r>
                    <w:rPr>
                      <w:color w:val="000000"/>
                      <w:sz w:val="17"/>
                    </w:rPr>
                    <w:t>DZ Bank, LBBW, DekaBank regularly issue RHM Bonus Certs on Euwax</w:t>
                  </w:r>
                </w:p>
              </w:tc>
            </w:tr>
          </w:tbl>
          <w:p w:rsidR="00263C30" w:rsidRDefault="00263C30"/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:rsidR="00263C30" w:rsidRDefault="00263C30"/>
          <w:p w:rsidR="00263C30" w:rsidRDefault="00000000">
            <w:pPr>
              <w:spacing w:after="60"/>
            </w:pPr>
            <w:r>
              <w:rPr>
                <w:b/>
                <w:color w:val="0C447C"/>
                <w:sz w:val="20"/>
              </w:rPr>
              <w:t>PART 2 – VALUATION OF CERTIFICATES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28"/>
            </w:tblGrid>
            <w:tr w:rsidR="00263C30">
              <w:tc>
                <w:tcPr>
                  <w:tcW w:w="7654" w:type="dxa"/>
                  <w:shd w:val="clear" w:color="auto" w:fill="E6F1FB"/>
                </w:tcPr>
                <w:p w:rsidR="00263C30" w:rsidRDefault="00000000">
                  <w:pPr>
                    <w:spacing w:before="40" w:after="40" w:line="234" w:lineRule="exact"/>
                  </w:pPr>
                  <w:r>
                    <w:rPr>
                      <w:b/>
                      <w:color w:val="0C447C"/>
                    </w:rPr>
                    <w:t xml:space="preserve">  V. Daily Valuation – 130 Trading Days</w:t>
                  </w:r>
                </w:p>
              </w:tc>
            </w:tr>
            <w:tr w:rsidR="00263C30">
              <w:tc>
                <w:tcPr>
                  <w:tcW w:w="7654" w:type="dxa"/>
                  <w:shd w:val="clear" w:color="auto" w:fill="F1EFE8"/>
                </w:tcPr>
                <w:p w:rsidR="00263C30" w:rsidRDefault="00000000">
                  <w:pPr>
                    <w:spacing w:before="60"/>
                  </w:pPr>
                  <w:r>
                    <w:rPr>
                      <w:b/>
                      <w:color w:val="0C447C"/>
                      <w:sz w:val="17"/>
                    </w:rPr>
                    <w:t xml:space="preserve">Method: </w:t>
                  </w:r>
                  <w:r>
                    <w:rPr>
                      <w:sz w:val="17"/>
                    </w:rPr>
                    <w:t>Rubinstein-Reiner closed-form barrier option formula under Black-Scholes. Volatility: 63-day rolling historical σ (annualised). Market prices: real traded Bonus Certificate on RHM from Euwax Stuttgart.</w:t>
                  </w:r>
                </w:p>
                <w:p w:rsidR="00263C30" w:rsidRDefault="00000000">
                  <w:pPr>
                    <w:spacing w:before="60" w:after="40"/>
                  </w:pPr>
                  <w:r>
                    <w:rPr>
                      <w:i/>
                      <w:color w:val="888780"/>
                      <w:sz w:val="16"/>
                    </w:rPr>
                    <w:t>[INSERT valuation_comparison.png – model vs market + daily error bars]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404"/>
                    <w:gridCol w:w="2397"/>
                    <w:gridCol w:w="2401"/>
                  </w:tblGrid>
                  <w:tr w:rsidR="00263C30">
                    <w:tc>
                      <w:tcPr>
                        <w:tcW w:w="2551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Metric</w:t>
                        </w:r>
                      </w:p>
                    </w:tc>
                    <w:tc>
                      <w:tcPr>
                        <w:tcW w:w="2551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EUR</w:t>
                        </w:r>
                      </w:p>
                    </w:tc>
                    <w:tc>
                      <w:tcPr>
                        <w:tcW w:w="2551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%</w:t>
                        </w:r>
                      </w:p>
                    </w:tc>
                  </w:tr>
                  <w:tr w:rsidR="00263C30"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Mean Error (ME)</w:t>
                        </w:r>
                      </w:p>
                    </w:tc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[x.xxxx]</w:t>
                        </w:r>
                      </w:p>
                    </w:tc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[x.xxx%]</w:t>
                        </w:r>
                      </w:p>
                    </w:tc>
                  </w:tr>
                  <w:tr w:rsidR="00263C30">
                    <w:tc>
                      <w:tcPr>
                        <w:tcW w:w="2551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Mean Abs. Error (MAE)</w:t>
                        </w:r>
                      </w:p>
                    </w:tc>
                    <w:tc>
                      <w:tcPr>
                        <w:tcW w:w="2551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[x.xxxx]</w:t>
                        </w:r>
                      </w:p>
                    </w:tc>
                    <w:tc>
                      <w:tcPr>
                        <w:tcW w:w="2551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[x.xxx%]</w:t>
                        </w:r>
                      </w:p>
                    </w:tc>
                  </w:tr>
                  <w:tr w:rsidR="00263C30"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RMSE</w:t>
                        </w:r>
                      </w:p>
                    </w:tc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[x.xxxx]</w:t>
                        </w:r>
                      </w:p>
                    </w:tc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[x.xxx%]</w:t>
                        </w:r>
                      </w:p>
                    </w:tc>
                  </w:tr>
                  <w:tr w:rsidR="00263C30">
                    <w:tc>
                      <w:tcPr>
                        <w:tcW w:w="2551" w:type="dxa"/>
                        <w:shd w:val="clear" w:color="auto" w:fill="FAEEDA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BA7517"/>
                            <w:sz w:val="16"/>
                          </w:rPr>
                          <w:t>Max Absolute Error ★</w:t>
                        </w:r>
                      </w:p>
                    </w:tc>
                    <w:tc>
                      <w:tcPr>
                        <w:tcW w:w="2551" w:type="dxa"/>
                        <w:shd w:val="clear" w:color="auto" w:fill="FAEEDA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BA7517"/>
                            <w:sz w:val="16"/>
                          </w:rPr>
                          <w:t>[x.xxxx]</w:t>
                        </w:r>
                      </w:p>
                    </w:tc>
                    <w:tc>
                      <w:tcPr>
                        <w:tcW w:w="2551" w:type="dxa"/>
                        <w:shd w:val="clear" w:color="auto" w:fill="FAEEDA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BA7517"/>
                            <w:sz w:val="16"/>
                          </w:rPr>
                          <w:t>[x.xxx%]</w:t>
                        </w:r>
                      </w:p>
                    </w:tc>
                  </w:tr>
                  <w:tr w:rsidR="00263C30"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95th Pct Abs. Error</w:t>
                        </w:r>
                      </w:p>
                    </w:tc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[x.xxxx]</w:t>
                        </w:r>
                      </w:p>
                    </w:tc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[x.xxx%]</w:t>
                        </w:r>
                      </w:p>
                    </w:tc>
                  </w:tr>
                </w:tbl>
                <w:p w:rsidR="00263C30" w:rsidRDefault="00263C30"/>
                <w:p w:rsidR="00263C30" w:rsidRDefault="00000000">
                  <w:pPr>
                    <w:spacing w:before="40" w:after="60"/>
                  </w:pPr>
                  <w:r>
                    <w:rPr>
                      <w:b/>
                      <w:color w:val="BA7517"/>
                      <w:sz w:val="17"/>
                    </w:rPr>
                    <w:t xml:space="preserve">Max absolute error (★): </w:t>
                  </w:r>
                  <w:r>
                    <w:rPr>
                      <w:color w:val="000000"/>
                      <w:sz w:val="17"/>
                    </w:rPr>
                    <w:t>The single largest daily deviation between model and market price. For RHM – a high-volatility defence stock driven by geopolitical news – this metric is critically important. Black-Scholes assumes constant σ and cannot capture sudden vol spikes (e.g. Ukraine ceasefire news), causing the max error to exceed RMSE by a large multiple on event days.</w:t>
                  </w:r>
                </w:p>
              </w:tc>
            </w:tr>
          </w:tbl>
          <w:p w:rsidR="00263C30" w:rsidRDefault="00263C30"/>
          <w:p w:rsidR="00263C30" w:rsidRDefault="00263C30">
            <w:pPr>
              <w:spacing w:after="8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28"/>
            </w:tblGrid>
            <w:tr w:rsidR="00263C30">
              <w:tc>
                <w:tcPr>
                  <w:tcW w:w="7654" w:type="dxa"/>
                  <w:shd w:val="clear" w:color="auto" w:fill="E6F1FB"/>
                </w:tcPr>
                <w:p w:rsidR="00263C30" w:rsidRDefault="00000000">
                  <w:pPr>
                    <w:spacing w:before="40" w:after="40" w:line="234" w:lineRule="exact"/>
                  </w:pPr>
                  <w:r>
                    <w:rPr>
                      <w:b/>
                      <w:color w:val="0C447C"/>
                    </w:rPr>
                    <w:t xml:space="preserve">  VI. Sensitivity Analysis – Greeks</w:t>
                  </w:r>
                </w:p>
              </w:tc>
            </w:tr>
            <w:tr w:rsidR="00263C30">
              <w:tc>
                <w:tcPr>
                  <w:tcW w:w="7654" w:type="dxa"/>
                  <w:shd w:val="clear" w:color="auto" w:fill="F1EFE8"/>
                </w:tcPr>
                <w:p w:rsidR="00263C30" w:rsidRDefault="00263C30"/>
                <w:p w:rsidR="00263C30" w:rsidRDefault="00000000">
                  <w:pPr>
                    <w:spacing w:before="60" w:after="40"/>
                  </w:pPr>
                  <w:r>
                    <w:rPr>
                      <w:i/>
                      <w:color w:val="888780"/>
                      <w:sz w:val="16"/>
                    </w:rPr>
                    <w:t>[INSERT greeks.png – Delta, Gamma, Vega, Theta vs stock price S]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82"/>
                    <w:gridCol w:w="2398"/>
                    <w:gridCol w:w="2422"/>
                  </w:tblGrid>
                  <w:tr w:rsidR="00263C30">
                    <w:tc>
                      <w:tcPr>
                        <w:tcW w:w="2551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Greek</w:t>
                        </w:r>
                      </w:p>
                    </w:tc>
                    <w:tc>
                      <w:tcPr>
                        <w:tcW w:w="2551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Behaviour</w:t>
                        </w:r>
                      </w:p>
                    </w:tc>
                    <w:tc>
                      <w:tcPr>
                        <w:tcW w:w="2551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Economic interpretation</w:t>
                        </w:r>
                      </w:p>
                    </w:tc>
                  </w:tr>
                  <w:tr w:rsidR="00263C30"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Delta  ∂V/∂S</w:t>
                        </w:r>
                      </w:p>
                    </w:tc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Rises sharply near B; ~1 above bonus</w:t>
                        </w:r>
                      </w:p>
                    </w:tc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Near barrier: leveraged (Δ&gt;1). Above bonus: stock-like (Δ≈1).</w:t>
                        </w:r>
                      </w:p>
                    </w:tc>
                  </w:tr>
                  <w:tr w:rsidR="00263C30">
                    <w:tc>
                      <w:tcPr>
                        <w:tcW w:w="2551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Gamma  ∂²V/∂S²</w:t>
                        </w:r>
                      </w:p>
                    </w:tc>
                    <w:tc>
                      <w:tcPr>
                        <w:tcW w:w="2551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Spikes near barrier; near zero elsewhere</w:t>
                        </w:r>
                      </w:p>
                    </w:tc>
                    <w:tc>
                      <w:tcPr>
                        <w:tcW w:w="2551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Small S moves → large Δ swings near B. Key hedging risk.</w:t>
                        </w:r>
                      </w:p>
                    </w:tc>
                  </w:tr>
                  <w:tr w:rsidR="00263C30"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Vega  ∂V/∂σ</w:t>
                        </w:r>
                      </w:p>
                    </w:tc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Negative near barrier; small above</w:t>
                        </w:r>
                      </w:p>
                    </w:tc>
                    <w:tc>
                      <w:tcPr>
                        <w:tcW w:w="2551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Higher σ → higher knock-out probability → cert worth less.</w:t>
                        </w:r>
                      </w:p>
                    </w:tc>
                  </w:tr>
                  <w:tr w:rsidR="00263C30">
                    <w:tc>
                      <w:tcPr>
                        <w:tcW w:w="2551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Theta  ∂V/∂t</w:t>
                        </w:r>
                      </w:p>
                    </w:tc>
                    <w:tc>
                      <w:tcPr>
                        <w:tcW w:w="2551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Generally positive (cert benefits from time passing)</w:t>
                        </w:r>
                      </w:p>
                    </w:tc>
                    <w:tc>
                      <w:tcPr>
                        <w:tcW w:w="2551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Fewer days remaining → lower knock-out probability → value rises.</w:t>
                        </w:r>
                      </w:p>
                    </w:tc>
                  </w:tr>
                </w:tbl>
                <w:p w:rsidR="00263C30" w:rsidRDefault="00263C30">
                  <w:pPr>
                    <w:spacing w:after="60"/>
                  </w:pPr>
                </w:p>
              </w:tc>
            </w:tr>
          </w:tbl>
          <w:p w:rsidR="00263C30" w:rsidRDefault="00263C30"/>
          <w:p w:rsidR="00263C30" w:rsidRDefault="00263C30">
            <w:pPr>
              <w:spacing w:after="8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28"/>
            </w:tblGrid>
            <w:tr w:rsidR="00263C30">
              <w:tc>
                <w:tcPr>
                  <w:tcW w:w="7654" w:type="dxa"/>
                  <w:shd w:val="clear" w:color="auto" w:fill="E6F1FB"/>
                </w:tcPr>
                <w:p w:rsidR="00263C30" w:rsidRDefault="00000000">
                  <w:pPr>
                    <w:spacing w:before="40" w:after="40" w:line="234" w:lineRule="exact"/>
                  </w:pPr>
                  <w:r>
                    <w:rPr>
                      <w:b/>
                      <w:color w:val="0C447C"/>
                    </w:rPr>
                    <w:t xml:space="preserve">  VII. Replicating Portfolio</w:t>
                  </w:r>
                </w:p>
              </w:tc>
            </w:tr>
            <w:tr w:rsidR="00263C30">
              <w:tc>
                <w:tcPr>
                  <w:tcW w:w="7654" w:type="dxa"/>
                  <w:shd w:val="clear" w:color="auto" w:fill="F1EFE8"/>
                </w:tcPr>
                <w:p w:rsidR="00263C30" w:rsidRDefault="00000000">
                  <w:pPr>
                    <w:spacing w:before="60"/>
                  </w:pPr>
                  <w:r>
                    <w:rPr>
                      <w:b/>
                      <w:color w:val="0C447C"/>
                      <w:sz w:val="17"/>
                    </w:rPr>
                    <w:t xml:space="preserve">Structure: </w:t>
                  </w:r>
                  <w:r>
                    <w:rPr>
                      <w:i/>
                      <w:color w:val="0F6E56"/>
                      <w:sz w:val="17"/>
                    </w:rPr>
                    <w:t>V(S,t) = Δ(S,t) · S  +  Bond(S,t)   where  Bond = V − Δ · S</w:t>
                  </w:r>
                </w:p>
                <w:p w:rsidR="00263C30" w:rsidRDefault="00000000">
                  <w:pPr>
                    <w:spacing w:before="60" w:after="40"/>
                  </w:pPr>
                  <w:r>
                    <w:rPr>
                      <w:i/>
                      <w:color w:val="888780"/>
                      <w:sz w:val="16"/>
                    </w:rPr>
                    <w:t>[INSERT equity_fraction_vs_S.png – equity fraction vs S at fixed T_rem]</w:t>
                  </w:r>
                  <w:r>
                    <w:rPr>
                      <w:i/>
                      <w:color w:val="888780"/>
                      <w:sz w:val="16"/>
                    </w:rPr>
                    <w:br/>
                    <w:t>[INSERT replicating_portfolio_time.png – daily delta and equity fraction over time]</w:t>
                  </w:r>
                </w:p>
                <w:p w:rsidR="00263C30" w:rsidRDefault="00000000">
                  <w:pPr>
                    <w:spacing w:before="40" w:after="60"/>
                  </w:pPr>
                  <w:r>
                    <w:rPr>
                      <w:b/>
                      <w:color w:val="0C447C"/>
                      <w:sz w:val="17"/>
                    </w:rPr>
                    <w:t xml:space="preserve">Falling market interpretation: </w:t>
                  </w:r>
                  <w:r>
                    <w:rPr>
                      <w:color w:val="000000"/>
                      <w:sz w:val="17"/>
                    </w:rPr>
                    <w:t>As RHM falls toward the barrier, equity fraction rises above 100% – the replicating portfolio is long more than one share and short the bond (leveraged). This reflects the deeply negative delta of the down-and-out put near the barrier. Dynamic delta hedging therefore requires aggressive stock purchases as the stock falls – amplifying losses in a sustained decline. Once the barrier is breached, the put knocks out permanently and the portfolio converts to a pure equity position.</w:t>
                  </w:r>
                </w:p>
              </w:tc>
            </w:tr>
          </w:tbl>
          <w:p w:rsidR="00263C30" w:rsidRDefault="00263C30"/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:rsidR="00263C30" w:rsidRDefault="00263C30"/>
          <w:p w:rsidR="00263C30" w:rsidRDefault="00000000">
            <w:pPr>
              <w:spacing w:after="60"/>
            </w:pPr>
            <w:r>
              <w:rPr>
                <w:b/>
                <w:color w:val="0C447C"/>
                <w:sz w:val="20"/>
              </w:rPr>
              <w:t>PART 3 – PORTFOLIO INSURANCE STRATEGY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28"/>
            </w:tblGrid>
            <w:tr w:rsidR="00263C30">
              <w:tc>
                <w:tcPr>
                  <w:tcW w:w="7654" w:type="dxa"/>
                  <w:shd w:val="clear" w:color="auto" w:fill="0C447C"/>
                </w:tcPr>
                <w:p w:rsidR="00263C30" w:rsidRDefault="00000000">
                  <w:pPr>
                    <w:spacing w:before="40" w:after="40" w:line="234" w:lineRule="exact"/>
                  </w:pPr>
                  <w:r>
                    <w:rPr>
                      <w:b/>
                      <w:color w:val="FFFFFF"/>
                    </w:rPr>
                    <w:t xml:space="preserve">  Setup</w:t>
                  </w:r>
                </w:p>
              </w:tc>
            </w:tr>
            <w:tr w:rsidR="00263C30">
              <w:tc>
                <w:tcPr>
                  <w:tcW w:w="7654" w:type="dxa"/>
                  <w:shd w:val="clear" w:color="auto" w:fill="E1F5EE"/>
                </w:tcPr>
                <w:p w:rsidR="00263C30" w:rsidRDefault="00263C30"/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F6E56"/>
                      <w:sz w:val="17"/>
                    </w:rPr>
                    <w:t xml:space="preserve">Initial capital: </w:t>
                  </w:r>
                  <w:r>
                    <w:rPr>
                      <w:color w:val="000000"/>
                      <w:sz w:val="17"/>
                    </w:rPr>
                    <w:t>€10,000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F6E56"/>
                      <w:sz w:val="17"/>
                    </w:rPr>
                    <w:t xml:space="preserve">Horizon T*: </w:t>
                  </w:r>
                  <w:r>
                    <w:rPr>
                      <w:color w:val="000000"/>
                      <w:sz w:val="17"/>
                    </w:rPr>
                    <w:t>1 year  ·  252 daily steps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F6E56"/>
                      <w:sz w:val="17"/>
                    </w:rPr>
                    <w:t xml:space="preserve">Underlying: </w:t>
                  </w:r>
                  <w:r>
                    <w:rPr>
                      <w:color w:val="000000"/>
                      <w:sz w:val="17"/>
                    </w:rPr>
                    <w:t>Rheinmetall AG (RHM.DE) – GBM with μ=historical, σ=historical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F6E56"/>
                      <w:sz w:val="17"/>
                    </w:rPr>
                    <w:t xml:space="preserve">Simulation: </w:t>
                  </w:r>
                  <w:r>
                    <w:rPr>
                      <w:color w:val="000000"/>
                      <w:sz w:val="17"/>
                    </w:rPr>
                    <w:t>50,000 Monte Carlo paths</w:t>
                  </w:r>
                </w:p>
                <w:p w:rsidR="00263C30" w:rsidRDefault="00000000">
                  <w:pPr>
                    <w:spacing w:before="20" w:after="60"/>
                  </w:pPr>
                  <w:r>
                    <w:rPr>
                      <w:b/>
                      <w:color w:val="0F6E56"/>
                      <w:sz w:val="17"/>
                    </w:rPr>
                    <w:t xml:space="preserve">Insurance: </w:t>
                  </w:r>
                  <w:r>
                    <w:rPr>
                      <w:color w:val="000000"/>
                      <w:sz w:val="17"/>
                    </w:rPr>
                    <w:t>Fictitious European puts priced on historical σ via Black-Scholes</w:t>
                  </w:r>
                </w:p>
              </w:tc>
            </w:tr>
          </w:tbl>
          <w:p w:rsidR="00263C30" w:rsidRDefault="00263C30"/>
          <w:p w:rsidR="00263C30" w:rsidRDefault="00263C30">
            <w:pPr>
              <w:spacing w:after="8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28"/>
            </w:tblGrid>
            <w:tr w:rsidR="00263C30">
              <w:tc>
                <w:tcPr>
                  <w:tcW w:w="7654" w:type="dxa"/>
                  <w:shd w:val="clear" w:color="auto" w:fill="FAECE7"/>
                </w:tcPr>
                <w:p w:rsidR="00263C30" w:rsidRDefault="00000000">
                  <w:pPr>
                    <w:spacing w:before="40" w:after="40" w:line="234" w:lineRule="exact"/>
                  </w:pPr>
                  <w:r>
                    <w:rPr>
                      <w:b/>
                      <w:color w:val="993C1D"/>
                    </w:rPr>
                    <w:t xml:space="preserve">  VIII. Performance Without Risk Management</w:t>
                  </w:r>
                </w:p>
              </w:tc>
            </w:tr>
            <w:tr w:rsidR="00263C30">
              <w:tc>
                <w:tcPr>
                  <w:tcW w:w="7654" w:type="dxa"/>
                  <w:shd w:val="clear" w:color="auto" w:fill="F1EFE8"/>
                </w:tcPr>
                <w:p w:rsidR="00263C30" w:rsidRDefault="00263C30"/>
                <w:p w:rsidR="00263C30" w:rsidRDefault="00000000">
                  <w:pPr>
                    <w:spacing w:before="60" w:after="40"/>
                  </w:pPr>
                  <w:r>
                    <w:rPr>
                      <w:i/>
                      <w:color w:val="888780"/>
                      <w:sz w:val="16"/>
                    </w:rPr>
                    <w:t>[INSERT mc_unhedged.png – return distribution, 95% VaR marked]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604"/>
                    <w:gridCol w:w="3598"/>
                  </w:tblGrid>
                  <w:tr w:rsidR="00263C30">
                    <w:tc>
                      <w:tcPr>
                        <w:tcW w:w="3827" w:type="dxa"/>
                        <w:shd w:val="clear" w:color="auto" w:fill="993C1D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Risk/return metric</w:t>
                        </w:r>
                      </w:p>
                    </w:tc>
                    <w:tc>
                      <w:tcPr>
                        <w:tcW w:w="3827" w:type="dxa"/>
                        <w:shd w:val="clear" w:color="auto" w:fill="993C1D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Unhedged (pure stock)</w:t>
                        </w:r>
                      </w:p>
                    </w:tc>
                  </w:tr>
                  <w:tr w:rsidR="00263C30">
                    <w:tc>
                      <w:tcPr>
                        <w:tcW w:w="382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Mean return</w:t>
                        </w:r>
                      </w:p>
                    </w:tc>
                    <w:tc>
                      <w:tcPr>
                        <w:tcW w:w="382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</w:tr>
                  <w:tr w:rsidR="00263C30">
                    <w:tc>
                      <w:tcPr>
                        <w:tcW w:w="382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Std deviation</w:t>
                        </w:r>
                      </w:p>
                    </w:tc>
                    <w:tc>
                      <w:tcPr>
                        <w:tcW w:w="382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</w:tr>
                  <w:tr w:rsidR="00263C30">
                    <w:tc>
                      <w:tcPr>
                        <w:tcW w:w="382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Sharpe ratio</w:t>
                        </w:r>
                      </w:p>
                    </w:tc>
                    <w:tc>
                      <w:tcPr>
                        <w:tcW w:w="382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[x.xxx]</w:t>
                        </w:r>
                      </w:p>
                    </w:tc>
                  </w:tr>
                  <w:tr w:rsidR="00263C30">
                    <w:tc>
                      <w:tcPr>
                        <w:tcW w:w="382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95% VaR (loss)</w:t>
                        </w:r>
                      </w:p>
                    </w:tc>
                    <w:tc>
                      <w:tcPr>
                        <w:tcW w:w="382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</w:tr>
                  <w:tr w:rsidR="00263C30">
                    <w:tc>
                      <w:tcPr>
                        <w:tcW w:w="382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95% CVaR (loss)</w:t>
                        </w:r>
                      </w:p>
                    </w:tc>
                    <w:tc>
                      <w:tcPr>
                        <w:tcW w:w="382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</w:tr>
                  <w:tr w:rsidR="00263C30">
                    <w:tc>
                      <w:tcPr>
                        <w:tcW w:w="382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P(loss)</w:t>
                        </w:r>
                      </w:p>
                    </w:tc>
                    <w:tc>
                      <w:tcPr>
                        <w:tcW w:w="382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[xx.x%]</w:t>
                        </w:r>
                      </w:p>
                    </w:tc>
                  </w:tr>
                </w:tbl>
                <w:p w:rsidR="00263C30" w:rsidRDefault="00263C30">
                  <w:pPr>
                    <w:spacing w:after="60"/>
                  </w:pPr>
                </w:p>
              </w:tc>
            </w:tr>
          </w:tbl>
          <w:p w:rsidR="00263C30" w:rsidRDefault="00263C30"/>
          <w:p w:rsidR="00263C30" w:rsidRDefault="00263C30">
            <w:pPr>
              <w:spacing w:after="8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28"/>
            </w:tblGrid>
            <w:tr w:rsidR="00263C30">
              <w:tc>
                <w:tcPr>
                  <w:tcW w:w="7654" w:type="dxa"/>
                  <w:shd w:val="clear" w:color="auto" w:fill="FAECE7"/>
                </w:tcPr>
                <w:p w:rsidR="00263C30" w:rsidRDefault="00000000">
                  <w:pPr>
                    <w:spacing w:before="40" w:after="40" w:line="234" w:lineRule="exact"/>
                  </w:pPr>
                  <w:r>
                    <w:rPr>
                      <w:b/>
                      <w:color w:val="993C1D"/>
                    </w:rPr>
                    <w:t xml:space="preserve">  IX. Portfolio Insurance with Put Options</w:t>
                  </w:r>
                </w:p>
              </w:tc>
            </w:tr>
            <w:tr w:rsidR="00263C30">
              <w:tc>
                <w:tcPr>
                  <w:tcW w:w="7654" w:type="dxa"/>
                  <w:shd w:val="clear" w:color="auto" w:fill="F1EFE8"/>
                </w:tcPr>
                <w:p w:rsidR="00263C30" w:rsidRDefault="00000000">
                  <w:pPr>
                    <w:spacing w:before="60"/>
                  </w:pPr>
                  <w:r>
                    <w:rPr>
                      <w:b/>
                      <w:color w:val="0C447C"/>
                      <w:sz w:val="17"/>
                    </w:rPr>
                    <w:t xml:space="preserve">Portfolio: </w:t>
                  </w:r>
                  <w:r>
                    <w:rPr>
                      <w:i/>
                      <w:sz w:val="17"/>
                    </w:rPr>
                    <w:t>(1−α) × RHM stock  +  α × European Put options</w:t>
                  </w:r>
                </w:p>
                <w:p w:rsidR="00263C30" w:rsidRDefault="00000000">
                  <w:pPr>
                    <w:spacing w:before="60" w:after="40"/>
                  </w:pPr>
                  <w:r>
                    <w:rPr>
                      <w:i/>
                      <w:color w:val="888780"/>
                      <w:sz w:val="16"/>
                    </w:rPr>
                    <w:t>[INSERT insurance_heatmap.png – VaR and mean return heatmap (α × K)]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Higher α (more puts): </w:t>
                  </w:r>
                  <w:r>
                    <w:rPr>
                      <w:color w:val="000000"/>
                      <w:sz w:val="17"/>
                    </w:rPr>
                    <w:t>VaR ↓, mean return ↓. Clear risk/return trade-off.</w:t>
                  </w:r>
                </w:p>
                <w:p w:rsidR="00263C30" w:rsidRDefault="00000000">
                  <w:pPr>
                    <w:spacing w:before="20" w:after="20"/>
                  </w:pPr>
                  <w:r>
                    <w:rPr>
                      <w:b/>
                      <w:color w:val="0C447C"/>
                      <w:sz w:val="17"/>
                    </w:rPr>
                    <w:t xml:space="preserve">Higher K (deeper ITM): </w:t>
                  </w:r>
                  <w:r>
                    <w:rPr>
                      <w:color w:val="000000"/>
                      <w:sz w:val="17"/>
                    </w:rPr>
                    <w:t>Stronger protection but higher put cost → lower mean return.</w:t>
                  </w:r>
                </w:p>
                <w:p w:rsidR="00263C30" w:rsidRDefault="00000000">
                  <w:pPr>
                    <w:spacing w:before="20" w:after="60"/>
                  </w:pPr>
                  <w:r>
                    <w:rPr>
                      <w:b/>
                      <w:color w:val="0C447C"/>
                      <w:sz w:val="17"/>
                    </w:rPr>
                    <w:t xml:space="preserve">Best balance: </w:t>
                  </w:r>
                  <w:r>
                    <w:rPr>
                      <w:color w:val="000000"/>
                      <w:sz w:val="17"/>
                    </w:rPr>
                    <w:t>α = 10%, K = 95% S₀ – maximises Sharpe under cost constraint.</w:t>
                  </w:r>
                </w:p>
              </w:tc>
            </w:tr>
          </w:tbl>
          <w:p w:rsidR="00263C30" w:rsidRDefault="00263C30"/>
          <w:p w:rsidR="00263C30" w:rsidRDefault="00263C30">
            <w:pPr>
              <w:spacing w:after="8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28"/>
            </w:tblGrid>
            <w:tr w:rsidR="00263C30">
              <w:tc>
                <w:tcPr>
                  <w:tcW w:w="7654" w:type="dxa"/>
                  <w:shd w:val="clear" w:color="auto" w:fill="FAECE7"/>
                </w:tcPr>
                <w:p w:rsidR="00263C30" w:rsidRDefault="00000000">
                  <w:pPr>
                    <w:spacing w:before="40" w:after="40" w:line="234" w:lineRule="exact"/>
                  </w:pPr>
                  <w:r>
                    <w:rPr>
                      <w:b/>
                      <w:color w:val="993C1D"/>
                    </w:rPr>
                    <w:t xml:space="preserve">  X. Stress Scenario Analysis  (α=10%, K=95% S₀)</w:t>
                  </w:r>
                </w:p>
              </w:tc>
            </w:tr>
            <w:tr w:rsidR="00263C30">
              <w:tc>
                <w:tcPr>
                  <w:tcW w:w="7654" w:type="dxa"/>
                  <w:shd w:val="clear" w:color="auto" w:fill="F1EFE8"/>
                </w:tcPr>
                <w:p w:rsidR="00263C30" w:rsidRDefault="00263C30"/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808"/>
                    <w:gridCol w:w="1798"/>
                    <w:gridCol w:w="1798"/>
                    <w:gridCol w:w="1798"/>
                  </w:tblGrid>
                  <w:tr w:rsidR="00263C30">
                    <w:tc>
                      <w:tcPr>
                        <w:tcW w:w="1913" w:type="dxa"/>
                        <w:shd w:val="clear" w:color="auto" w:fill="993C1D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Scenario</w:t>
                        </w:r>
                      </w:p>
                    </w:tc>
                    <w:tc>
                      <w:tcPr>
                        <w:tcW w:w="1913" w:type="dxa"/>
                        <w:shd w:val="clear" w:color="auto" w:fill="993C1D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Mean return</w:t>
                        </w:r>
                      </w:p>
                    </w:tc>
                    <w:tc>
                      <w:tcPr>
                        <w:tcW w:w="1913" w:type="dxa"/>
                        <w:shd w:val="clear" w:color="auto" w:fill="993C1D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95% VaR</w:t>
                        </w:r>
                      </w:p>
                    </w:tc>
                    <w:tc>
                      <w:tcPr>
                        <w:tcW w:w="1913" w:type="dxa"/>
                        <w:shd w:val="clear" w:color="auto" w:fill="993C1D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95% CVaR</w:t>
                        </w:r>
                      </w:p>
                    </w:tc>
                  </w:tr>
                  <w:tr w:rsidR="00263C30">
                    <w:tc>
                      <w:tcPr>
                        <w:tcW w:w="1913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Baseline</w:t>
                        </w:r>
                      </w:p>
                    </w:tc>
                    <w:tc>
                      <w:tcPr>
                        <w:tcW w:w="1913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  <w:tc>
                      <w:tcPr>
                        <w:tcW w:w="1913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  <w:tc>
                      <w:tcPr>
                        <w:tcW w:w="1913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</w:tr>
                  <w:tr w:rsidR="00263C30">
                    <w:tc>
                      <w:tcPr>
                        <w:tcW w:w="1913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Vol +5pp</w:t>
                        </w:r>
                      </w:p>
                    </w:tc>
                    <w:tc>
                      <w:tcPr>
                        <w:tcW w:w="1913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  <w:tc>
                      <w:tcPr>
                        <w:tcW w:w="1913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  <w:tc>
                      <w:tcPr>
                        <w:tcW w:w="1913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</w:tr>
                  <w:tr w:rsidR="00263C30">
                    <w:tc>
                      <w:tcPr>
                        <w:tcW w:w="1913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Vol −5pp</w:t>
                        </w:r>
                      </w:p>
                    </w:tc>
                    <w:tc>
                      <w:tcPr>
                        <w:tcW w:w="1913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  <w:tc>
                      <w:tcPr>
                        <w:tcW w:w="1913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  <w:tc>
                      <w:tcPr>
                        <w:tcW w:w="1913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</w:tr>
                  <w:tr w:rsidR="00263C30">
                    <w:tc>
                      <w:tcPr>
                        <w:tcW w:w="1913" w:type="dxa"/>
                        <w:shd w:val="clear" w:color="auto" w:fill="FAEEDA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BA7517"/>
                            <w:sz w:val="16"/>
                          </w:rPr>
                          <w:t>−20% shock at T/2</w:t>
                        </w:r>
                      </w:p>
                    </w:tc>
                    <w:tc>
                      <w:tcPr>
                        <w:tcW w:w="1913" w:type="dxa"/>
                        <w:shd w:val="clear" w:color="auto" w:fill="FAEEDA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BA7517"/>
                            <w:sz w:val="16"/>
                          </w:rPr>
                          <w:t>[x.xx%]</w:t>
                        </w:r>
                      </w:p>
                    </w:tc>
                    <w:tc>
                      <w:tcPr>
                        <w:tcW w:w="1913" w:type="dxa"/>
                        <w:shd w:val="clear" w:color="auto" w:fill="FAEEDA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BA7517"/>
                            <w:sz w:val="16"/>
                          </w:rPr>
                          <w:t>[x.xx%]</w:t>
                        </w:r>
                      </w:p>
                    </w:tc>
                    <w:tc>
                      <w:tcPr>
                        <w:tcW w:w="1913" w:type="dxa"/>
                        <w:shd w:val="clear" w:color="auto" w:fill="FAEEDA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BA7517"/>
                            <w:sz w:val="16"/>
                          </w:rPr>
                          <w:t>[x.xx%]</w:t>
                        </w:r>
                      </w:p>
                    </w:tc>
                  </w:tr>
                </w:tbl>
                <w:p w:rsidR="00263C30" w:rsidRDefault="00263C30"/>
                <w:p w:rsidR="00263C30" w:rsidRDefault="00000000">
                  <w:pPr>
                    <w:spacing w:before="60" w:after="40"/>
                  </w:pPr>
                  <w:r>
                    <w:rPr>
                      <w:i/>
                      <w:color w:val="888780"/>
                      <w:sz w:val="16"/>
                    </w:rPr>
                    <w:t>[INSERT stress_scenarios.png – overlaid return distributions]</w:t>
                  </w:r>
                </w:p>
                <w:p w:rsidR="00263C30" w:rsidRDefault="00000000">
                  <w:pPr>
                    <w:spacing w:before="40" w:after="60"/>
                  </w:pPr>
                  <w:r>
                    <w:rPr>
                      <w:b/>
                      <w:color w:val="0C447C"/>
                      <w:sz w:val="17"/>
                    </w:rPr>
                    <w:t xml:space="preserve">Discussion: </w:t>
                  </w:r>
                  <w:r>
                    <w:rPr>
                      <w:color w:val="000000"/>
                      <w:sz w:val="17"/>
                    </w:rPr>
                    <w:t>Higher pricing vol inflates put cost → fewer puts purchased → weaker protection. The −20% price shock at T/2 dominates: triggers put payoffs but the stock continues to drift; depending on K this may still result in significant losses. For RHM specifically, sudden vol spikes (geopolitical events) create the largest stress impact due to the elevated baseline σ.</w:t>
                  </w:r>
                </w:p>
              </w:tc>
            </w:tr>
          </w:tbl>
          <w:p w:rsidR="00263C30" w:rsidRDefault="00263C30"/>
          <w:p w:rsidR="00263C30" w:rsidRDefault="00263C30">
            <w:pPr>
              <w:spacing w:after="8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28"/>
            </w:tblGrid>
            <w:tr w:rsidR="00263C30">
              <w:tc>
                <w:tcPr>
                  <w:tcW w:w="7654" w:type="dxa"/>
                  <w:shd w:val="clear" w:color="auto" w:fill="FAECE7"/>
                </w:tcPr>
                <w:p w:rsidR="00263C30" w:rsidRDefault="00000000">
                  <w:pPr>
                    <w:spacing w:before="40" w:after="40" w:line="234" w:lineRule="exact"/>
                  </w:pPr>
                  <w:r>
                    <w:rPr>
                      <w:b/>
                      <w:color w:val="993C1D"/>
                    </w:rPr>
                    <w:t xml:space="preserve">  XI. Capital Requirement – 95% VaR ≤ 15%</w:t>
                  </w:r>
                </w:p>
              </w:tc>
            </w:tr>
            <w:tr w:rsidR="00263C30">
              <w:tc>
                <w:tcPr>
                  <w:tcW w:w="7654" w:type="dxa"/>
                  <w:shd w:val="clear" w:color="auto" w:fill="F1EFE8"/>
                </w:tcPr>
                <w:p w:rsidR="00263C30" w:rsidRDefault="00263C30"/>
                <w:p w:rsidR="00263C30" w:rsidRDefault="00000000">
                  <w:pPr>
                    <w:spacing w:before="60" w:after="40"/>
                  </w:pPr>
                  <w:r>
                    <w:rPr>
                      <w:i/>
                      <w:color w:val="888780"/>
                      <w:sz w:val="16"/>
                    </w:rPr>
                    <w:t>[INSERT var_constraint.png – VaR vs α with binding constraint at 15%]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601"/>
                    <w:gridCol w:w="3601"/>
                  </w:tblGrid>
                  <w:tr w:rsidR="00263C30">
                    <w:tc>
                      <w:tcPr>
                        <w:tcW w:w="3827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Parameter</w:t>
                        </w:r>
                      </w:p>
                    </w:tc>
                    <w:tc>
                      <w:tcPr>
                        <w:tcW w:w="3827" w:type="dxa"/>
                        <w:shd w:val="clear" w:color="auto" w:fill="0C447C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Optimal allocation</w:t>
                        </w:r>
                      </w:p>
                    </w:tc>
                  </w:tr>
                  <w:tr w:rsidR="00263C30">
                    <w:tc>
                      <w:tcPr>
                        <w:tcW w:w="382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Strike K</w:t>
                        </w:r>
                      </w:p>
                    </w:tc>
                    <w:tc>
                      <w:tcPr>
                        <w:tcW w:w="382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95% of S₀</w:t>
                        </w:r>
                      </w:p>
                    </w:tc>
                  </w:tr>
                  <w:tr w:rsidR="00263C30">
                    <w:tc>
                      <w:tcPr>
                        <w:tcW w:w="382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α*  (put fraction)</w:t>
                        </w:r>
                      </w:p>
                    </w:tc>
                    <w:tc>
                      <w:tcPr>
                        <w:tcW w:w="382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  ←  solved via scipy Brent root-finder</w:t>
                        </w:r>
                      </w:p>
                    </w:tc>
                  </w:tr>
                  <w:tr w:rsidR="00263C30">
                    <w:tc>
                      <w:tcPr>
                        <w:tcW w:w="382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Resulting 95% VaR</w:t>
                        </w:r>
                      </w:p>
                    </w:tc>
                    <w:tc>
                      <w:tcPr>
                        <w:tcW w:w="382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15.00%  (constraint fully utilised)</w:t>
                        </w:r>
                      </w:p>
                    </w:tc>
                  </w:tr>
                  <w:tr w:rsidR="00263C30">
                    <w:tc>
                      <w:tcPr>
                        <w:tcW w:w="382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lastRenderedPageBreak/>
                          <w:t>Expected return</w:t>
                        </w:r>
                      </w:p>
                    </w:tc>
                    <w:tc>
                      <w:tcPr>
                        <w:tcW w:w="3827" w:type="dxa"/>
                        <w:shd w:val="clear" w:color="auto" w:fill="F1EFE8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[x.xx%]</w:t>
                        </w:r>
                      </w:p>
                    </w:tc>
                  </w:tr>
                  <w:tr w:rsidR="00263C30">
                    <w:tc>
                      <w:tcPr>
                        <w:tcW w:w="382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Sharpe ratio</w:t>
                        </w:r>
                      </w:p>
                    </w:tc>
                    <w:tc>
                      <w:tcPr>
                        <w:tcW w:w="3827" w:type="dxa"/>
                        <w:shd w:val="clear" w:color="auto" w:fill="FFFFFF"/>
                      </w:tcPr>
                      <w:p w:rsidR="00263C30" w:rsidRDefault="00000000">
                        <w:pPr>
                          <w:spacing w:before="40" w:after="40" w:line="208" w:lineRule="exact"/>
                        </w:pPr>
                        <w:r>
                          <w:rPr>
                            <w:color w:val="000000"/>
                            <w:sz w:val="16"/>
                          </w:rPr>
                          <w:t>[x.xxx]</w:t>
                        </w:r>
                      </w:p>
                    </w:tc>
                  </w:tr>
                </w:tbl>
                <w:p w:rsidR="00263C30" w:rsidRDefault="00263C30"/>
                <w:p w:rsidR="00263C30" w:rsidRDefault="00000000">
                  <w:pPr>
                    <w:spacing w:before="40" w:after="60"/>
                  </w:pPr>
                  <w:r>
                    <w:rPr>
                      <w:b/>
                      <w:color w:val="0C447C"/>
                      <w:sz w:val="17"/>
                    </w:rPr>
                    <w:t xml:space="preserve">Interpretation: </w:t>
                  </w:r>
                  <w:r>
                    <w:rPr>
                      <w:color w:val="000000"/>
                      <w:sz w:val="17"/>
                    </w:rPr>
                    <w:t>α* fully utilises the VaR budget. More puts wastes return potential; fewer puts violates the constraint. The Brent solver identifies α* numerically from the simulated distribution by finding the root of VaR(α) + 0.15 = 0. This approach allows putting more capital into the risky asset than a pure stock strategy would permit under the same VaR limit.</w:t>
                  </w:r>
                </w:p>
              </w:tc>
            </w:tr>
          </w:tbl>
          <w:p w:rsidR="00263C30" w:rsidRDefault="00263C30"/>
        </w:tc>
      </w:tr>
    </w:tbl>
    <w:p w:rsidR="00263C30" w:rsidRDefault="00263C30">
      <w:pPr>
        <w:spacing w:after="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0"/>
        <w:gridCol w:w="7937"/>
        <w:gridCol w:w="7370"/>
      </w:tblGrid>
      <w:tr w:rsidR="00263C30">
        <w:trPr>
          <w:jc w:val="center"/>
        </w:trPr>
        <w:tc>
          <w:tcPr>
            <w:tcW w:w="7370" w:type="dxa"/>
            <w:shd w:val="clear" w:color="auto" w:fill="0C447C"/>
          </w:tcPr>
          <w:p w:rsidR="00263C30" w:rsidRDefault="00000000">
            <w:pPr>
              <w:spacing w:before="60" w:after="60"/>
            </w:pPr>
            <w:r>
              <w:rPr>
                <w:color w:val="B5D4F4"/>
                <w:sz w:val="15"/>
              </w:rPr>
              <w:t>Pricing: Black-Scholes + Rubinstein-Reiner (1991)  ·  Data: Yahoo Finance (yfinance)  ·  Simulation: 50,000 GBM paths</w:t>
            </w:r>
          </w:p>
        </w:tc>
        <w:tc>
          <w:tcPr>
            <w:tcW w:w="7937" w:type="dxa"/>
            <w:shd w:val="clear" w:color="auto" w:fill="0C447C"/>
          </w:tcPr>
          <w:p w:rsidR="00263C30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5"/>
              </w:rPr>
              <w:t>B401 Take-Home Assignment  ·  Summer Term 2026  ·  Eberhard Karls Universität Tübingen</w:t>
            </w:r>
          </w:p>
        </w:tc>
        <w:tc>
          <w:tcPr>
            <w:tcW w:w="7370" w:type="dxa"/>
            <w:shd w:val="clear" w:color="auto" w:fill="0C447C"/>
          </w:tcPr>
          <w:p w:rsidR="00263C30" w:rsidRDefault="00000000">
            <w:pPr>
              <w:spacing w:before="60" w:after="60"/>
              <w:jc w:val="right"/>
            </w:pPr>
            <w:r>
              <w:rPr>
                <w:color w:val="B5D4F4"/>
                <w:sz w:val="15"/>
              </w:rPr>
              <w:t>References: Hull (2017) Options, Futures &amp; Derivatives  ·  Rubinstein &amp; Reiner (1991)  ·  BSW/DDV (2023)</w:t>
            </w:r>
          </w:p>
        </w:tc>
      </w:tr>
    </w:tbl>
    <w:p w:rsidR="00A72CD2" w:rsidRDefault="00A72CD2"/>
    <w:sectPr w:rsidR="00A72CD2" w:rsidSect="00034616">
      <w:pgSz w:w="23811" w:h="16838"/>
      <w:pgMar w:top="567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104634">
    <w:abstractNumId w:val="8"/>
  </w:num>
  <w:num w:numId="2" w16cid:durableId="1392922850">
    <w:abstractNumId w:val="6"/>
  </w:num>
  <w:num w:numId="3" w16cid:durableId="366880043">
    <w:abstractNumId w:val="5"/>
  </w:num>
  <w:num w:numId="4" w16cid:durableId="1347558582">
    <w:abstractNumId w:val="4"/>
  </w:num>
  <w:num w:numId="5" w16cid:durableId="221068052">
    <w:abstractNumId w:val="7"/>
  </w:num>
  <w:num w:numId="6" w16cid:durableId="1591549189">
    <w:abstractNumId w:val="3"/>
  </w:num>
  <w:num w:numId="7" w16cid:durableId="203258070">
    <w:abstractNumId w:val="2"/>
  </w:num>
  <w:num w:numId="8" w16cid:durableId="318267418">
    <w:abstractNumId w:val="1"/>
  </w:num>
  <w:num w:numId="9" w16cid:durableId="81384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C30"/>
    <w:rsid w:val="0029639D"/>
    <w:rsid w:val="00326F90"/>
    <w:rsid w:val="005908CE"/>
    <w:rsid w:val="00642980"/>
    <w:rsid w:val="00A72CD2"/>
    <w:rsid w:val="00AA1D8D"/>
    <w:rsid w:val="00AE65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373D5"/>
  <w14:defaultImageDpi w14:val="300"/>
  <w15:docId w15:val="{25181E9A-EEAE-BD4D-80EE-98BEF585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2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daanish muzaffar</cp:lastModifiedBy>
  <cp:revision>2</cp:revision>
  <dcterms:created xsi:type="dcterms:W3CDTF">2013-12-23T23:15:00Z</dcterms:created>
  <dcterms:modified xsi:type="dcterms:W3CDTF">2026-06-02T09:19:00Z</dcterms:modified>
  <cp:category/>
</cp:coreProperties>
</file>