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B401 Continuous-Time Derivatives Pricing</w:t>
      </w:r>
    </w:p>
    <w:p>
      <w:pPr/>
      <w:r>
        <w:t>Take-Home Assignment — Complete Study Guide, Plain-English Edition</w:t>
      </w:r>
    </w:p>
    <w:p>
      <w:pPr/>
      <w:r>
        <w:t>Notebook: B401_Assignment_2026.ipynb  |  Summer Term 2026  |  Eberhard Karls Universität Tübingen (Prof. Dr. Christian Koziol / Benjamin Harsch)</w:t>
      </w:r>
    </w:p>
    <w:p>
      <w:pPr>
        <w:pStyle w:val="Heading2"/>
      </w:pPr>
      <w:r>
        <w:t>How to use this guide</w:t>
      </w:r>
    </w:p>
    <w:p>
      <w:pPr/>
      <w:r>
        <w:t>This guide explains everything twice, back to back, for every task: first in plain words, then in technical language. Concretely, each task section answers, in order: (1) In plain English, what problem are we actually solving here, using ordinary language and simple analogies — no finance background assumed; (2) What theory applies, with the formula and the lecture-slide reference where the session notes cite one; (3) What exactly does the notebook do, step by step, in words a non-coder can follow; (4) What came out, and what it means for the story of the assignment. A formula bank, a source register and a list of likely oral-defence questions close the document. Every single number quoted here is copied directly from the notebook’s own executed output — nothing in this guide is separately recalculated, rounded differently, or guessed.</w:t>
      </w:r>
    </w:p>
    <w:p>
      <w:pPr>
        <w:pStyle w:val="Heading1"/>
      </w:pPr>
      <w:r>
        <w:t>1. The Assignment at a Glance</w:t>
      </w:r>
    </w:p>
    <w:p>
      <w:pPr/>
      <w:r>
        <w:t>Strip away the jargon and the assignment is three connected mini-projects built around one company: Rheinmetall AG (RHM.DE), the German defence manufacturer traded on XETRA in Frankfurt. Using the same underlying stock throughout means one data pipeline feeds all three parts, and the results of Part 1, Part 2 and Part 3 are directly comparable — you are not juggling three unrelated companies with three unrelated volatility numbers.</w:t>
      </w:r>
    </w:p>
    <w:p>
      <w:pPr/>
      <w:r>
        <w:t>In plain English:</w:t>
      </w:r>
    </w:p>
    <w:p>
      <w:pPr>
        <w:pStyle w:val="ListBullet"/>
      </w:pPr>
      <w:r>
        <w:t>Part 1 — you invent a brand-new financial product on Rheinmetall from scratch, design its terms, and check the numbers make sense. You do NOT have to prove it is "fairly priced" — that is Part 2’s job.</w:t>
      </w:r>
    </w:p>
    <w:p>
      <w:pPr>
        <w:pStyle w:val="ListBullet"/>
      </w:pPr>
      <w:r>
        <w:t>Part 2 — you take a product that genuinely already exists and trades in the market (DZ BANK’s DU2076 certificate on Rheinmetall) and check, day by day for over six months, whether your model’s price agrees with what the market is actually charging for it.</w:t>
      </w:r>
    </w:p>
    <w:p>
      <w:pPr>
        <w:pStyle w:val="ListBullet"/>
      </w:pPr>
      <w:r>
        <w:t>Part 3 — you pretend you have €10,000 in cash, put it all into Rheinmetall stock, and ask: what happens over the next year? Then you add insurance (put options) to the position and see how that changes the picture, stress-test it, and finally find the exact mix of stock and insurance that uses up — but does not exceed — a regulator-style risk budget.</w:t>
      </w:r>
    </w:p>
    <w:p>
      <w:pPr/>
      <w:r>
        <w:t>The tutor Q&amp;A (Session 2 recap slide) set the complexity bar for Part 1: the product has to be a genuine structured product, at least as complex as a discount certificate — a bare call or put option bought on its own is not enough. Grading is driven mainly by (i) product complexity and (ii) poster quality, then technical implementation, correct valuation methodology, sensible parameter choices and economic reasoning.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Part</w:t>
            </w:r>
          </w:p>
        </w:tc>
        <w:tc>
          <w:tcPr>
            <w:tcW w:type="dxa" w:w="2160"/>
          </w:tcPr>
          <w:p>
            <w:r>
              <w:t>Theme</w:t>
            </w:r>
          </w:p>
        </w:tc>
        <w:tc>
          <w:tcPr>
            <w:tcW w:type="dxa" w:w="2160"/>
          </w:tcPr>
          <w:p>
            <w:r>
              <w:t>Tasks</w:t>
            </w:r>
          </w:p>
        </w:tc>
        <w:tc>
          <w:tcPr>
            <w:tcW w:type="dxa" w:w="2160"/>
          </w:tcPr>
          <w:p>
            <w:r>
              <w:t>What the notebook does</w:t>
            </w:r>
          </w:p>
        </w:tc>
      </w:tr>
      <w:tr>
        <w:tc>
          <w:tcPr>
            <w:tcW w:type="dxa" w:w="2160"/>
          </w:tcPr>
          <w:p>
            <w:r>
              <w:t>Part 1</w:t>
            </w:r>
          </w:p>
        </w:tc>
        <w:tc>
          <w:tcPr>
            <w:tcW w:type="dxa" w:w="2160"/>
          </w:tcPr>
          <w:p>
            <w:r>
              <w:t>Designing a certificate (fictitious product, no valuation required)</w:t>
            </w:r>
          </w:p>
        </w:tc>
        <w:tc>
          <w:tcPr>
            <w:tcW w:type="dxa" w:w="2160"/>
          </w:tcPr>
          <w:p>
            <w:r>
              <w:t>I–IV</w:t>
            </w:r>
          </w:p>
        </w:tc>
        <w:tc>
          <w:tcPr>
            <w:tcW w:type="dxa" w:w="2160"/>
          </w:tcPr>
          <w:p>
            <w:r>
              <w:t>Capped Capital Protected Participation Note (CPN) on Rheinmetall AG</w:t>
            </w:r>
          </w:p>
        </w:tc>
      </w:tr>
      <w:tr>
        <w:tc>
          <w:tcPr>
            <w:tcW w:type="dxa" w:w="2160"/>
          </w:tcPr>
          <w:p>
            <w:r>
              <w:t>Part 2</w:t>
            </w:r>
          </w:p>
        </w:tc>
        <w:tc>
          <w:tcPr>
            <w:tcW w:type="dxa" w:w="2160"/>
          </w:tcPr>
          <w:p>
            <w:r>
              <w:t>Valuing a real, traded certificate against market prices</w:t>
            </w:r>
          </w:p>
        </w:tc>
        <w:tc>
          <w:tcPr>
            <w:tcW w:type="dxa" w:w="2160"/>
          </w:tcPr>
          <w:p>
            <w:r>
              <w:t>V–VII</w:t>
            </w:r>
          </w:p>
        </w:tc>
        <w:tc>
          <w:tcPr>
            <w:tcW w:type="dxa" w:w="2160"/>
          </w:tcPr>
          <w:p>
            <w:r>
              <w:t>DZ BANK Bonus Cap Certificate DU2076 on Rheinmetall, priced on a CRR binomial tree</w:t>
            </w:r>
          </w:p>
        </w:tc>
      </w:tr>
      <w:tr>
        <w:tc>
          <w:tcPr>
            <w:tcW w:type="dxa" w:w="2160"/>
          </w:tcPr>
          <w:p>
            <w:r>
              <w:t>Part 3</w:t>
            </w:r>
          </w:p>
        </w:tc>
        <w:tc>
          <w:tcPr>
            <w:tcW w:type="dxa" w:w="2160"/>
          </w:tcPr>
          <w:p>
            <w:r>
              <w:t>Portfolio insurance via Monte Carlo simulation</w:t>
            </w:r>
          </w:p>
        </w:tc>
        <w:tc>
          <w:tcPr>
            <w:tcW w:type="dxa" w:w="2160"/>
          </w:tcPr>
          <w:p>
            <w:r>
              <w:t>VIII–XI</w:t>
            </w:r>
          </w:p>
        </w:tc>
        <w:tc>
          <w:tcPr>
            <w:tcW w:type="dxa" w:w="2160"/>
          </w:tcPr>
          <w:p>
            <w:r>
              <w:t>€10,000 in Rheinmetall over 1 year; put-option overlay; stress tests; 15% VaR constraint</w:t>
            </w:r>
          </w:p>
        </w:tc>
      </w:tr>
    </w:tbl>
    <w:p/>
    <w:p>
      <w:pPr/>
      <w:r>
        <w:t>Deliverables: one A3 landscape poster (minimum font size 11, self-explanatory, name and student ID top-left, submitted as a PDF), runnable and commented code, all data files used, and an AI-usage disclaimer. Deadline 6 July 2026, 1 pm; poster presentation 9 July 2026.</w:t>
      </w:r>
    </w:p>
    <w:p>
      <w:pPr>
        <w:pStyle w:val="Heading1"/>
      </w:pPr>
      <w:r>
        <w:t>2. Setup — Data, Volatility and the Risk-Free Rate</w:t>
      </w:r>
    </w:p>
    <w:p>
      <w:pPr/>
      <w:r>
        <w:t>Every pricing exercise, no matter how exotic the product, needs the same five raw ingredients: (1) where the stock is trading right now (spot price), (2) the contract level(s) — strike, cap, barrier, (3) how long until the product expires, (4) the interest rate at which money grows risk-free over that horizon, and (5) how much the stock tends to jump around (volatility). Session 2 (slides 2–3) lists exactly these five valuation inputs. This section is where the notebook sources every one of them, once, so that every later task simply reuses the same numbers instead of re-deriving them.</w:t>
      </w:r>
    </w:p>
    <w:p>
      <w:pPr>
        <w:pStyle w:val="Heading2"/>
      </w:pPr>
      <w:r>
        <w:t>2.1 Price data (the spot input)</w:t>
      </w:r>
    </w:p>
    <w:p>
      <w:pPr/>
      <w:r>
        <w:t>In plain English: before you can price anything, you need a history of what the stock has actually done. The notebook downloads Rheinmetall’s daily closing price from Yahoo Finance, then reads it back from a saved local file on every subsequent run instead of re-downloading it — like taking one photo of the market and keeping a printed copy, rather than re-photographing it (and risking a different weather) every single time you open the notebook.</w:t>
      </w:r>
    </w:p>
    <w:p>
      <w:pPr>
        <w:pStyle w:val="ListBullet"/>
      </w:pPr>
      <w:r>
        <w:t>Source: Yahoo Finance via the yfinance Python package, ticker RHM.DE, dividend- and split-adjusted closing prices (auto_adjust=True), 02 Jan 2023 – 01 Jun 2026 (866 trading days).</w:t>
      </w:r>
    </w:p>
    <w:p>
      <w:pPr>
        <w:pStyle w:val="ListBullet"/>
      </w:pPr>
      <w:r>
        <w:t>Cache-first design: prices are stored in data/rhm_prices.csv and read from disk on every run (REFRESH = False). No live API call is made by default, so the submitted notebook runs fully offline and always reproduces the same numbers — this directly answers the requirement that a grader must be able to re-run the code and get identical results, even a year from now when the live stock price has moved on.</w:t>
      </w:r>
    </w:p>
    <w:p>
      <w:pPr>
        <w:pStyle w:val="ListBullet"/>
      </w:pPr>
      <w:r>
        <w:t>Why start in Jan 2023: the DU2076 valuation window (Part 2) opens 04 Sep 2025; ~2.7 years of history before that date gives plenty of warm-up data for the rolling volatility and spans a full volatility regime — both the calm 2023–24 uptrend and the November 2025 crash.</w:t>
      </w:r>
    </w:p>
    <w:p>
      <w:pPr>
        <w:pStyle w:val="ListBullet"/>
      </w:pPr>
      <w:r>
        <w:t>Why end on 2026-06-02: yfinance treats the end date as exclusive (it stops the day before), so this setting is what makes 01 Jun 2026 — the design date for Part 1 and the last valuation day for Part 2 — the final row actually returned.</w:t>
      </w:r>
    </w:p>
    <w:p>
      <w:pPr>
        <w:pStyle w:val="Heading2"/>
      </w:pPr>
      <w:r>
        <w:t>2.2 Log-returns and volatility — three estimators, not one</w:t>
      </w:r>
    </w:p>
    <w:p>
      <w:pPr/>
      <w:r>
        <w:t>First, what is a "log-return"? If Rheinmetall closes at €100 one day and €105 the next, the log-return is ln(105/100) ≈ 4.88% — almost, but not exactly, the everyday "5% up" you would say out loud. Log-returns are used everywhere in this notebook because they add up cleanly across days and are the natural unit in the continuous-time models this course is built on:</w:t>
      </w:r>
    </w:p>
    <w:p>
      <w:pPr/>
      <w:r>
        <w:t>rₜ = ln(Sₜ / Sₜ₋₁)</w:t>
      </w:r>
    </w:p>
    <w:p>
      <w:pPr/>
      <w:r>
        <w:t>Now, what is "volatility"? It is simply the standard deviation of these daily log-returns, scaled up ("annualised") by multiplying by √252 (there are about 252 trading days in a year) so that it is expressed as a yearly percentage instead of a daily one. Intuitively: a high-volatility stock is one whose daily returns are scattered far from the average — a jumpy, unpredictable stock; a low-volatility stock moves in small, steady steps.</w:t>
      </w:r>
    </w:p>
    <w:p>
      <w:pPr/>
      <w:r>
        <w:t>Here is the point that is easy to miss: the notebook deliberately computes volatility THREE different ways, for three different jobs, and never mixes them up. Think of it like a weather forecast used for three different decisions. If you are planning a 3-year trip (Part 1’s product design), you want the long-run climate average — has it generally been calm, or generally stormy, over the last few years? If you are keeping the books on an existing policy today (Part 2’s daily valuation), you want this week’s actual weather, because that is what is really driving prices right now. If you are simulating what next year might look like (Part 3’s Monte Carlo), you want the most recent full year’s regime — recent enough to be relevant to the year ahead, but long enough that one freak day does not distort the whole estimate.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Estimator</w:t>
            </w:r>
          </w:p>
        </w:tc>
        <w:tc>
          <w:tcPr>
            <w:tcW w:type="dxa" w:w="2160"/>
          </w:tcPr>
          <w:p>
            <w:r>
              <w:t>Formula</w:t>
            </w:r>
          </w:p>
        </w:tc>
        <w:tc>
          <w:tcPr>
            <w:tcW w:type="dxa" w:w="2160"/>
          </w:tcPr>
          <w:p>
            <w:r>
              <w:t>Value</w:t>
            </w:r>
          </w:p>
        </w:tc>
        <w:tc>
          <w:tcPr>
            <w:tcW w:type="dxa" w:w="2160"/>
          </w:tcPr>
          <w:p>
            <w:r>
              <w:t>Used for</w:t>
            </w:r>
          </w:p>
        </w:tc>
      </w:tr>
      <w:tr>
        <w:tc>
          <w:tcPr>
            <w:tcW w:type="dxa" w:w="2160"/>
          </w:tcPr>
          <w:p>
            <w:r>
              <w:t>Full-sample historical σ (SIGMA_HIST)</w:t>
            </w:r>
          </w:p>
        </w:tc>
        <w:tc>
          <w:tcPr>
            <w:tcW w:type="dxa" w:w="2160"/>
          </w:tcPr>
          <w:p>
            <w:r>
              <w:t>σ̂ = √252 · std(r₁ … r_T),  T ≈ 866 days</w:t>
            </w:r>
          </w:p>
        </w:tc>
        <w:tc>
          <w:tcPr>
            <w:tcW w:type="dxa" w:w="2160"/>
          </w:tcPr>
          <w:p>
            <w:r>
              <w:t>39.88% p.a.</w:t>
            </w:r>
          </w:p>
        </w:tc>
        <w:tc>
          <w:tcPr>
            <w:tcW w:type="dxa" w:w="2160"/>
          </w:tcPr>
          <w:p>
            <w:r>
              <w:t>Part 1 product design (SIGMA_CPN) — the "long-run climate" figure</w:t>
            </w:r>
          </w:p>
        </w:tc>
      </w:tr>
      <w:tr>
        <w:tc>
          <w:tcPr>
            <w:tcW w:type="dxa" w:w="2160"/>
          </w:tcPr>
          <w:p>
            <w:r>
              <w:t>30-day rolling historical σ (rolling_vol_30)</w:t>
            </w:r>
          </w:p>
        </w:tc>
        <w:tc>
          <w:tcPr>
            <w:tcW w:type="dxa" w:w="2160"/>
          </w:tcPr>
          <w:p>
            <w:r>
              <w:t>σ̂ₜ = √252 · std(r₍ₜ₋₂₉₎ … rₜ), clipped to [10%, 60%]</w:t>
            </w:r>
          </w:p>
        </w:tc>
        <w:tc>
          <w:tcPr>
            <w:tcW w:type="dxa" w:w="2160"/>
          </w:tcPr>
          <w:p>
            <w:r>
              <w:t>full-sample range 19.1%–77.6%, mean 37.8%</w:t>
            </w:r>
          </w:p>
        </w:tc>
        <w:tc>
          <w:tcPr>
            <w:tcW w:type="dxa" w:w="2160"/>
          </w:tcPr>
          <w:p>
            <w:r>
              <w:t>Part 2 daily pricing (Tasks V–VII) — the "this week’s weather" figure, re-read fresh on every valuation day</w:t>
            </w:r>
          </w:p>
        </w:tc>
      </w:tr>
      <w:tr>
        <w:tc>
          <w:tcPr>
            <w:tcW w:type="dxa" w:w="2160"/>
          </w:tcPr>
          <w:p>
            <w:r>
              <w:t>252-day trailing σ (sigma_mc)</w:t>
            </w:r>
          </w:p>
        </w:tc>
        <w:tc>
          <w:tcPr>
            <w:tcW w:type="dxa" w:w="2160"/>
          </w:tcPr>
          <w:p>
            <w:r>
              <w:t>σ̂ = √252 · std(last 252 returns to 01 Jun 2026)</w:t>
            </w:r>
          </w:p>
        </w:tc>
        <w:tc>
          <w:tcPr>
            <w:tcW w:type="dxa" w:w="2160"/>
          </w:tcPr>
          <w:p>
            <w:r>
              <w:t>45.57% p.a.</w:t>
            </w:r>
          </w:p>
        </w:tc>
        <w:tc>
          <w:tcPr>
            <w:tcW w:type="dxa" w:w="2160"/>
          </w:tcPr>
          <w:p>
            <w:r>
              <w:t>Part 3 Monte Carlo diffusion vol and put-pricing vol — the "most recent full year" figure</w:t>
            </w:r>
          </w:p>
        </w:tc>
      </w:tr>
    </w:tbl>
    <w:p/>
    <w:p>
      <w:pPr/>
      <w:r>
        <w:t>Why the split, in one sentence each: the full-sample number is right for a 3-year design decision because it captures a whole cycle of calm and turmoil; the 30-day rolling number is right for daily mark-to-model pricing because a contemporaneous risk measure — how jumpy has the stock actually been lately? — matters more than a three-year average when you are pricing what the certificate is worth today; and the 252-day trailing number is right for a 1-year forward simulation because it reflects the current regime without being whipsawed by any single day. Re-reading the current volatility every day in the Part 2 pricing loop (rather than freezing one number for the whole 183-day window) is a deliberate quality feature of Task V, not an inconsistency: it means the tree’s inputs track reality as the market’s mood changes. The [10%, 60%] clip on the rolling estimator is just a safety rail — it stops a freakishly quiet or freakishly wild 30-day window from producing a nonsensical volatility input.</w:t>
      </w:r>
    </w:p>
    <w:p>
      <w:pPr>
        <w:pStyle w:val="Heading2"/>
      </w:pPr>
      <w:r>
        <w:t>2.3 Risk-free rate — the Svensson (1994) yield curve</w:t>
      </w:r>
    </w:p>
    <w:p>
      <w:pPr/>
      <w:r>
        <w:t>What is a "risk-free rate," in plain terms? It is the interest rate on money lent to a borrower who essentially cannot default — here, AAA-rated euro-area governments. Why do we need a whole curve of these rates rather than one single number? Because the rate you earn depends on how long you are willing to lock your money away: locking cash up for 10 years usually earns a different rate than locking it up for 3 years or for a few months. A "yield curve" is just the full menu of "if you lend for this long, you earn this much" rates, for every possible maturity at once.</w:t>
      </w:r>
    </w:p>
    <w:p>
      <w:pPr/>
      <w:r>
        <w:t>Session 2 (slide 4) specifically endorses the Svensson approach for the risk-free input (a single constant rate is only the pass-level fallback). The Svensson model is a six-parameter formula that bends a smooth curve through all typical shapes a real yield curve can take — rising, falling, humped, or flat:</w:t>
      </w:r>
    </w:p>
    <w:p>
      <w:pPr/>
      <w:r>
        <w:t>₀yₜ = β₀ + β₁·(1−e^(−t/τ₁))/(t/τ₁) + β₂·[(1−e^(−t/τ₁))/(t/τ₁) − e^(−t/τ₁)] + β₃·[(1−e^(−t/τ₂))/(t/τ₂) − e^(−t/τ₂)]</w:t>
      </w:r>
    </w:p>
    <w:p>
      <w:pPr/>
      <w:r>
        <w:t>In words, not symbols: β₀ is roughly "the interest rate very far in the future" — the long-run anchor level. β₁ tilts the short end of the curve up or down. β₂ and β₃ each add one "hump" — a bulge in the curve at a maturity controlled by τ₁ or τ₂ respectively. You never need to memorise this formula; you just need to know it is a flexible, well-behaved shape-fitting tool for a yield curve, calibrated daily by the ECB from actual AAA government-bond prices.</w:t>
      </w:r>
    </w:p>
    <w:p>
      <w:pPr/>
      <w:r>
        <w:t>The six parameters (β₀, β₁, β₂, β₃, τ₁, τ₂) are published daily by the ECB for the AAA-rated euro-area sovereign curve; the notebook downloads these once and stores them locally in data/ECB Data Portal_20260615151519.csv (199 dates, Sep 2025 – Jun 2026) — the same cache-first, offline-reproducible philosophy as the stock price data above.</w:t>
      </w:r>
    </w:p>
    <w:p>
      <w:pPr/>
      <w:r>
        <w:t>The curve is then evaluated at three different points in the notebook, each for a deliberate reason:</w:t>
      </w:r>
    </w:p>
    <w:p>
      <w:pPr>
        <w:pStyle w:val="ListBullet"/>
      </w:pPr>
      <w:r>
        <w:t>Part 1 design: R_CPN = svensson(3.0) = 2.62% — the 3-year spot rate matching the CPN’s 3-year maturity, taken from the static 01 Jun 2026 parameter snapshot SV_P1.</w:t>
      </w:r>
    </w:p>
    <w:p>
      <w:pPr>
        <w:pStyle w:val="ListBullet"/>
      </w:pPr>
      <w:r>
        <w:t>Part 2 daily loop: get_risk_free_rate(date, T_rem) looks up that day’s ECB parameters (carrying forward over weekends/holidays) and evaluates the curve at the certificate’s remaining maturity on that specific day — a genuinely daily, maturity-matched discount rate (mean 2.14% over the window, range 1.87%–2.59%).</w:t>
      </w:r>
    </w:p>
    <w:p>
      <w:pPr>
        <w:pStyle w:val="ListBullet"/>
      </w:pPr>
      <w:r>
        <w:t>Parts 1 &amp; 3 benchmark: RISK_FREE = svensson(10.0) = 3.07%, the 10-year benchmark rate used as the Sharpe-ratio reference rate and as the Part 3 option-pricing rate. Using the long benchmark here — rather than a short daily rate — is an intentional design choice: it represents a stable, long-horizon "safe alternative" against which a 1-year risky Rheinmetall bet is judged.</w:t>
      </w:r>
    </w:p>
    <w:p>
      <w:pPr>
        <w:pStyle w:val="Heading2"/>
      </w:pPr>
      <w:r>
        <w:t>2.4 Dividend yield</w:t>
      </w:r>
    </w:p>
    <w:p>
      <w:pPr/>
      <w:r>
        <w:t>A dividend is simply a cash payment a company sends directly to shareholders. If you own a call option instead of the actual share, you do NOT receive that cash — so, all else equal, a call option on a dividend-paying stock is worth a little less than the same option would be on an otherwise identical stock that pays no dividend. Every option-pricing formula in this notebook accounts for that by subtracting a dividend yield q from the stock’s growth rate wherever an option is priced.</w:t>
      </w:r>
    </w:p>
    <w:p>
      <w:pPr/>
      <w:r>
        <w:t>Rheinmetall’s FY 2025 dividend is €11.50 per share (source: Rheinmetall Investor Relations, ex-dividend 13 May 2026). Dividing by the design-date spot of €1,207 gives a continuous dividend yield input q = 0.95%. Session 3 confirms dividends should be included wherever relevant: in Black-Scholes the spot is replaced by S₀·e^(−qT); in the binomial tree the risk-neutral probability uses (r − q); in the Monte Carlo the risk-neutral drift used for option pricing is lowered to r − q (the real-world stock-price paths already reinvest dividends through the adjusted price series, so nothing extra needs to be subtracted there).</w:t>
      </w:r>
    </w:p>
    <w:p>
      <w:pPr>
        <w:pStyle w:val="Heading1"/>
      </w:pPr>
      <w:r>
        <w:t>3. PART 1 — Designing the Certificate (Tasks I–IV)</w:t>
      </w:r>
    </w:p>
    <w:p>
      <w:pPr/>
      <w:r>
        <w:t>Part 1 designs a fictitious product — nothing here needs to be "real." The Q&amp;A "Do’s/Don’ts" slide is explicit about what is required: define a specific investor, design an appropriate certificate for that investor, describe its components, illustrate its payoff, and estimate the market volume it might realistically reach — and, crucially, no valuation is required and no unrealistic components are allowed. Any option pricing that appears in Part 1 is purely an internal sanity check on the participation rate, not a graded valuation exercise.</w:t>
      </w:r>
    </w:p>
    <w:p>
      <w:pPr>
        <w:pStyle w:val="Heading2"/>
      </w:pPr>
      <w:r>
        <w:t>3.1 Task I — Investor Profile</w:t>
      </w:r>
    </w:p>
    <w:p>
      <w:pPr>
        <w:pStyle w:val="Heading3"/>
      </w:pPr>
      <w:r>
        <w:t>What was asked</w:t>
      </w:r>
    </w:p>
    <w:p>
      <w:pPr/>
      <w:r>
        <w:t>Define a specific, realistic investor (age, horizon, risk tolerance, income vs. growth preference, market expectation) and argue why the designed product beats a direct investment in the underlying stock for exactly this investor.</w:t>
      </w:r>
    </w:p>
    <w:p>
      <w:pPr>
        <w:pStyle w:val="Heading3"/>
      </w:pPr>
      <w:r>
        <w:t>What we did</w:t>
      </w:r>
    </w:p>
    <w:p>
      <w:pPr/>
      <w:r>
        <w:t>The profile is a German retail investor, age 40–60, pre-retirement, with a 3–5 year investment horizon and a strong thematic conviction on the European defence re-rating story (Germany’s €100bn Sondervermögen for the Bundeswehr, sustained NATO spending, Rheinmetall’s roughly €40bn order backlog) — but low-to-moderate risk tolerance. In plain terms: this investor believes in the story, but cannot stomach the ride. At roughly 40% annualised historical volatility, Rheinmetall can plausibly lose 30–40% of its value in a single year, which is simply incompatible with a capital-preservation mindset heading into retirement. Their central-case expectation is structurally bullish, +15–30% over 3 years; nominal capital protection at maturity is non-negotiable for them.</w:t>
      </w:r>
    </w:p>
    <w:p>
      <w:pPr>
        <w:pStyle w:val="Heading3"/>
      </w:pPr>
      <w:r>
        <w:t>Why the product beats the alternatives (the argument that earns the marks)</w:t>
      </w:r>
    </w:p>
    <w:tbl>
      <w:tblPr>
        <w:tblStyle w:val="LightGrid-Accent1"/>
        <w:tblW w:type="auto" w:w="0"/>
        <w:tblLook w:firstColumn="1" w:firstRow="1" w:lastColumn="0" w:lastRow="0" w:noHBand="0" w:noVBand="1" w:val="04A0"/>
      </w:tblPr>
      <w:tblGrid>
        <w:gridCol w:w="4320"/>
        <w:gridCol w:w="4320"/>
      </w:tblGrid>
      <w:tr>
        <w:tc>
          <w:tcPr>
            <w:tcW w:type="dxa" w:w="4320"/>
          </w:tcPr>
          <w:p>
            <w:r>
              <w:t>Alternative</w:t>
            </w:r>
          </w:p>
        </w:tc>
        <w:tc>
          <w:tcPr>
            <w:tcW w:type="dxa" w:w="4320"/>
          </w:tcPr>
          <w:p>
            <w:r>
              <w:t>Why it fails this investor</w:t>
            </w:r>
          </w:p>
        </w:tc>
      </w:tr>
      <w:tr>
        <w:tc>
          <w:tcPr>
            <w:tcW w:type="dxa" w:w="4320"/>
          </w:tcPr>
          <w:p>
            <w:r>
              <w:t>Direct RHM stock</w:t>
            </w:r>
          </w:p>
        </w:tc>
        <w:tc>
          <w:tcPr>
            <w:tcW w:type="dxa" w:w="4320"/>
          </w:tcPr>
          <w:p>
            <w:r>
              <w:t>Right theme, but ~40% volatility and full single-stock drawdown risk is simply too much downside for someone who needs to sleep at night</w:t>
            </w:r>
          </w:p>
        </w:tc>
      </w:tr>
      <w:tr>
        <w:tc>
          <w:tcPr>
            <w:tcW w:type="dxa" w:w="4320"/>
          </w:tcPr>
          <w:p>
            <w:r>
              <w:t>Defence-sector ETF</w:t>
            </w:r>
          </w:p>
        </w:tc>
        <w:tc>
          <w:tcPr>
            <w:tcW w:type="dxa" w:w="4320"/>
          </w:tcPr>
          <w:p>
            <w:r>
              <w:t>Diversifies away exactly the Rheinmetall-specific upside this investor is trying to capture, while still offering no capital floor</w:t>
            </w:r>
          </w:p>
        </w:tc>
      </w:tr>
      <w:tr>
        <w:tc>
          <w:tcPr>
            <w:tcW w:type="dxa" w:w="4320"/>
          </w:tcPr>
          <w:p>
            <w:r>
              <w:t>Tagesgeld / fixed income (a plain savings account)</w:t>
            </w:r>
          </w:p>
        </w:tc>
        <w:tc>
          <w:tcPr>
            <w:tcW w:type="dxa" w:w="4320"/>
          </w:tcPr>
          <w:p>
            <w:r>
              <w:t>Perfectly safe, but gives zero access to the defence theme and, with rates declining, is increasingly unattractive on its own</w:t>
            </w:r>
          </w:p>
        </w:tc>
      </w:tr>
      <w:tr>
        <w:tc>
          <w:tcPr>
            <w:tcW w:type="dxa" w:w="4320"/>
          </w:tcPr>
          <w:p>
            <w:r>
              <w:t>Reverse convertible on RHM</w:t>
            </w:r>
          </w:p>
        </w:tc>
        <w:tc>
          <w:tcPr>
            <w:tcW w:type="dxa" w:w="4320"/>
          </w:tcPr>
          <w:p>
            <w:r>
              <w:t>This structure hands the investor exactly the kind of downside risk (via an embedded short put) that they are trying to avoid — the wrong product family entirely</w:t>
            </w:r>
          </w:p>
        </w:tc>
      </w:tr>
      <w:tr>
        <w:tc>
          <w:tcPr>
            <w:tcW w:type="dxa" w:w="4320"/>
          </w:tcPr>
          <w:p>
            <w:r>
              <w:t>The designed CPN</w:t>
            </w:r>
          </w:p>
        </w:tc>
        <w:tc>
          <w:tcPr>
            <w:tcW w:type="dxa" w:w="4320"/>
          </w:tcPr>
          <w:p>
            <w:r>
              <w:t>The zero-coupon-bond floor removes nominal loss risk entirely; an ~85% participation rate captures almost all of the investor’s 15–30% central-case scenario; the 130% cap is a cheap concession given how rarely the central case is exceeded</w:t>
            </w:r>
          </w:p>
        </w:tc>
      </w:tr>
    </w:tbl>
    <w:p/>
    <w:p>
      <w:pPr>
        <w:pStyle w:val="Heading2"/>
      </w:pPr>
      <w:r>
        <w:t>3.2 Task II — Product Design</w:t>
      </w:r>
    </w:p>
    <w:p>
      <w:pPr>
        <w:pStyle w:val="Heading3"/>
      </w:pPr>
      <w:r>
        <w:t>What was asked</w:t>
      </w:r>
    </w:p>
    <w:p>
      <w:pPr/>
      <w:r>
        <w:t>Design a marketable certificate with at least two components, and explain both the intuition and each component individually. The theory source is the financial-engineering toolbox from Session 1 (slides 13–21): retail structured products are built by combining the underlying stock with vanilla calls/puts, binary options and barrier options — for example, a discount certificate = underlying minus a short call; a bonus certificate = underlying plus a down-and-out put; a capital-protection note = a zero bond plus a call.</w:t>
      </w:r>
    </w:p>
    <w:p>
      <w:pPr>
        <w:pStyle w:val="Heading3"/>
      </w:pPr>
      <w:r>
        <w:t>The product: Capped Capital Protected Participation Note (CPN) on RHM.DE</w:t>
      </w:r>
    </w:p>
    <w:p>
      <w:pPr/>
      <w:r>
        <w:t>In plain English, imagine building this out of three separate ingredients bought today, on the design date of 01 Jun 2026:</w:t>
      </w:r>
    </w:p>
    <w:p>
      <w:pPr>
        <w:pStyle w:val="ListBullet"/>
      </w:pPr>
      <w:r>
        <w:t>Ingredient 1 — a zero-coupon bond: this is simply an IOU with no interest coupons attached. You pay less than its face value today, and it grows back up to exactly that face value (here, €1,207, the investor’s full nominal) by the 3-year maturity date, guaranteed. This one ingredient alone is what makes the "capital protection" promise possible.</w:t>
      </w:r>
    </w:p>
    <w:p>
      <w:pPr>
        <w:pStyle w:val="ListBullet"/>
      </w:pPr>
      <w:r>
        <w:t>Ingredient 2 — a bought (long) at-the-money call option: a call option is a ticket that lets its owner buy Rheinmetall stock later at a fixed price (here, today’s price, €1,207) — but only if that turns out to be a good deal. If the stock is above €1,207 at maturity, the ticket is worth the difference; if the stock is below, the ticket is simply worthless and you walk away, having only lost what you paid for it. This is the ingredient that gives the investor upside participation.</w:t>
      </w:r>
    </w:p>
    <w:p>
      <w:pPr>
        <w:pStyle w:val="ListBullet"/>
      </w:pPr>
      <w:r>
        <w:t>Ingredient 3 — a sold (short) out-of-the-money call option, struck at 130% of S₀: selling this second call means someone else now holds the right to buy the stock from you at €1,569 if it gets there. In exchange for giving up gains above €1,569, you are paid a premium today. That premium is what lifts the participation rate above what ingredient 2’s budget alone could buy.</w:t>
      </w:r>
    </w:p>
    <w:p>
      <w:pPr/>
      <w:r>
        <w:t>Whatever capital is left over after paying for the bond buys the at-the-money call; selling the far out-of-the-money call brings in extra cash that lets the investor participate in slightly more than they otherwise could — call this extra share the participation rate, α. The investor gives up upside beyond +30% in exchange for that boost — a mild concession, since the investor’s central scenario is only +15–30% anyway. A useful engineering property at Rheinmetall’s high volatility: both calls in the spread gain value from higher volatility, so the (bought minus sold) spread price — and hence α — stays fairly stable even as σ moves around.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Position</w:t>
            </w:r>
          </w:p>
        </w:tc>
        <w:tc>
          <w:tcPr>
            <w:tcW w:type="dxa" w:w="2880"/>
          </w:tcPr>
          <w:p>
            <w:r>
              <w:t>Role</w:t>
            </w:r>
          </w:p>
        </w:tc>
      </w:tr>
      <w:tr>
        <w:tc>
          <w:tcPr>
            <w:tcW w:type="dxa" w:w="2880"/>
          </w:tcPr>
          <w:p>
            <w:r>
              <w:t>Zero-coupon bond, face = S₀ = •1,207</w:t>
            </w:r>
          </w:p>
        </w:tc>
        <w:tc>
          <w:tcPr>
            <w:tcW w:type="dxa" w:w="2880"/>
          </w:tcPr>
          <w:p>
            <w:r>
              <w:t>Long</w:t>
            </w:r>
          </w:p>
        </w:tc>
        <w:tc>
          <w:tcPr>
            <w:tcW w:type="dxa" w:w="2880"/>
          </w:tcPr>
          <w:p>
            <w:r>
              <w:t>Guarantees 100% of nominal capital back at maturity</w:t>
            </w:r>
          </w:p>
        </w:tc>
      </w:tr>
      <w:tr>
        <w:tc>
          <w:tcPr>
            <w:tcW w:type="dxa" w:w="2880"/>
          </w:tcPr>
          <w:p>
            <w:r>
              <w:t>ATM European call, K = S₀ = •1,207</w:t>
            </w:r>
          </w:p>
        </w:tc>
        <w:tc>
          <w:tcPr>
            <w:tcW w:type="dxa" w:w="2880"/>
          </w:tcPr>
          <w:p>
            <w:r>
              <w:t>Long α units</w:t>
            </w:r>
          </w:p>
        </w:tc>
        <w:tc>
          <w:tcPr>
            <w:tcW w:type="dxa" w:w="2880"/>
          </w:tcPr>
          <w:p>
            <w:r>
              <w:t>Gives participation in upside above S₀</w:t>
            </w:r>
          </w:p>
        </w:tc>
      </w:tr>
      <w:tr>
        <w:tc>
          <w:tcPr>
            <w:tcW w:type="dxa" w:w="2880"/>
          </w:tcPr>
          <w:p>
            <w:r>
              <w:t>OTM European call, K = 130%·S₀ = •1,569</w:t>
            </w:r>
          </w:p>
        </w:tc>
        <w:tc>
          <w:tcPr>
            <w:tcW w:type="dxa" w:w="2880"/>
          </w:tcPr>
          <w:p>
            <w:r>
              <w:t>Short α units</w:t>
            </w:r>
          </w:p>
        </w:tc>
        <w:tc>
          <w:tcPr>
            <w:tcW w:type="dxa" w:w="2880"/>
          </w:tcPr>
          <w:p>
            <w:r>
              <w:t>Caps the gain at ~+25.6%; the premium received funds a higher α</w:t>
            </w:r>
          </w:p>
        </w:tc>
      </w:tr>
    </w:tbl>
    <w:p/>
    <w:p>
      <w:pPr>
        <w:pStyle w:val="Heading3"/>
      </w:pPr>
      <w:r>
        <w:t>The at-par condition and the participation rate</w:t>
      </w:r>
    </w:p>
    <w:p>
      <w:pPr/>
      <w:r>
        <w:t>The product is issued at par — meaning its components must together cost exactly the €1,207 the investor pays in. That single "no free lunch, no hidden loss" condition is the one equation that pins down α:</w:t>
      </w:r>
    </w:p>
    <w:p>
      <w:pPr/>
      <w:r>
        <w:t>CPN₀ = ZCB₀ + α · [Call(K = S₀) − Call(K = Cap)] = S₀</w:t>
      </w:r>
    </w:p>
    <w:p>
      <w:pPr/>
      <w:r>
        <w:t>α = (S₀ − ZCB₀) / [Call(S₀) − Call(Cap)]</w:t>
      </w:r>
    </w:p>
    <w:p>
      <w:pPr/>
      <w:r>
        <w:t>The two call options are valued with the dividend-adjusted Black-Scholes formula (Session 2, slide 58). In plain words, Black-Scholes is a formula that answers: "given the stock’s price today, how jumpy it typically is, how long until the option expires, and current interest rates, what should this call option be worth right now, if no one could make risk-free money off it being mispriced?"</w:t>
      </w:r>
    </w:p>
    <w:p>
      <w:pPr/>
      <w:r>
        <w:t>C₀ = S₀·e^(−qT)·N(d₁) − K·e^(−rT)·N(d₂)</w:t>
      </w:r>
    </w:p>
    <w:p>
      <w:pPr/>
      <w:r>
        <w:t>d₁,₂ = [ln(S₀/K) + (r − q ± ½σ²)·T] / (σ·√T)</w:t>
      </w:r>
    </w:p>
    <w:p>
      <w:pPr/>
      <w:r>
        <w:t>You do not need to memorise d₁ and d₂ by heart — think of them as risk-adjusted measures of how far "in the money" the option is expected to end up, expressed in standard-deviation units; N(·) then converts that distance into a probability-like weight between 0 and 1. Inputs used here: r = 2.62% (the 3-year Svensson rate), σ = 39.88% (the full-sample historical volatility — the "long-run climate" estimator from Section 2.2), q = 0.95%, T = 3 years. Executed result:</w:t>
      </w:r>
    </w:p>
    <w:tbl>
      <w:tblPr>
        <w:tblStyle w:val="LightGrid-Accent1"/>
        <w:tblW w:type="auto" w:w="0"/>
        <w:tblLook w:firstColumn="1" w:firstRow="1" w:lastColumn="0" w:lastRow="0" w:noHBand="0" w:noVBand="1" w:val="04A0"/>
      </w:tblPr>
      <w:tblGrid>
        <w:gridCol w:w="4320"/>
        <w:gridCol w:w="4320"/>
      </w:tblGrid>
      <w:tr>
        <w:tc>
          <w:tcPr>
            <w:tcW w:type="dxa" w:w="4320"/>
          </w:tcPr>
          <w:p>
            <w:r>
              <w:t>Quantity</w:t>
            </w:r>
          </w:p>
        </w:tc>
        <w:tc>
          <w:tcPr>
            <w:tcW w:type="dxa" w:w="4320"/>
          </w:tcPr>
          <w:p>
            <w:r>
              <w:t>Value (EUR)</w:t>
            </w:r>
          </w:p>
        </w:tc>
      </w:tr>
      <w:tr>
        <w:tc>
          <w:tcPr>
            <w:tcW w:type="dxa" w:w="4320"/>
          </w:tcPr>
          <w:p>
            <w:r>
              <w:t>ZCB present value  S₀·e^(−rT)</w:t>
            </w:r>
          </w:p>
        </w:tc>
        <w:tc>
          <w:tcPr>
            <w:tcW w:type="dxa" w:w="4320"/>
          </w:tcPr>
          <w:p>
            <w:r>
              <w:t>1,115.79</w:t>
            </w:r>
          </w:p>
        </w:tc>
      </w:tr>
      <w:tr>
        <w:tc>
          <w:tcPr>
            <w:tcW w:type="dxa" w:w="4320"/>
          </w:tcPr>
          <w:p>
            <w:r>
              <w:t>ATM call (K = 1,207)</w:t>
            </w:r>
          </w:p>
        </w:tc>
        <w:tc>
          <w:tcPr>
            <w:tcW w:type="dxa" w:w="4320"/>
          </w:tcPr>
          <w:p>
            <w:r>
              <w:t>338.64</w:t>
            </w:r>
          </w:p>
        </w:tc>
      </w:tr>
      <w:tr>
        <w:tc>
          <w:tcPr>
            <w:tcW w:type="dxa" w:w="4320"/>
          </w:tcPr>
          <w:p>
            <w:r>
              <w:t>Cap call (K = 1,569), short</w:t>
            </w:r>
          </w:p>
        </w:tc>
        <w:tc>
          <w:tcPr>
            <w:tcW w:type="dxa" w:w="4320"/>
          </w:tcPr>
          <w:p>
            <w:r>
              <w:t>231.59</w:t>
            </w:r>
          </w:p>
        </w:tc>
      </w:tr>
      <w:tr>
        <w:tc>
          <w:tcPr>
            <w:tcW w:type="dxa" w:w="4320"/>
          </w:tcPr>
          <w:p>
            <w:r>
              <w:t>Spread (long − short)</w:t>
            </w:r>
          </w:p>
        </w:tc>
        <w:tc>
          <w:tcPr>
            <w:tcW w:type="dxa" w:w="4320"/>
          </w:tcPr>
          <w:p>
            <w:r>
              <w:t>107.04</w:t>
            </w:r>
          </w:p>
        </w:tc>
      </w:tr>
      <w:tr>
        <w:tc>
          <w:tcPr>
            <w:tcW w:type="dxa" w:w="4320"/>
          </w:tcPr>
          <w:p>
            <w:r>
              <w:t>Participation rate α = (1,207 − 1,115.79) / 107.04</w:t>
            </w:r>
          </w:p>
        </w:tc>
        <w:tc>
          <w:tcPr>
            <w:tcW w:type="dxa" w:w="4320"/>
          </w:tcPr>
          <w:p>
            <w:r>
              <w:t>85.2%</w:t>
            </w:r>
          </w:p>
        </w:tc>
      </w:tr>
      <w:tr>
        <w:tc>
          <w:tcPr>
            <w:tcW w:type="dxa" w:w="4320"/>
          </w:tcPr>
          <w:p>
            <w:r>
              <w:t>Maximum gain α·(Cap − K) → max payoff</w:t>
            </w:r>
          </w:p>
        </w:tc>
        <w:tc>
          <w:tcPr>
            <w:tcW w:type="dxa" w:w="4320"/>
          </w:tcPr>
          <w:p>
            <w:r>
              <w:t>+25.6% (payoff €1,515.53)</w:t>
            </w:r>
          </w:p>
        </w:tc>
      </w:tr>
    </w:tbl>
    <w:p/>
    <w:p>
      <w:pPr/>
      <w:r>
        <w:t>Note this is not a "valuation" in the Part 2 sense: Part 1 explicitly requires none. The Black-Scholes call calculation here only confirms that the advertised 85.2% participation rate is economically consistent with today’s market inputs — a sanity check, not a graded deliverable in itself.</w:t>
      </w:r>
    </w:p>
    <w:p>
      <w:pPr>
        <w:pStyle w:val="Heading2"/>
      </w:pPr>
      <w:r>
        <w:t>3.3 Task III — Payoff Profile</w:t>
      </w:r>
    </w:p>
    <w:p>
      <w:pPr>
        <w:pStyle w:val="Heading3"/>
      </w:pPr>
      <w:r>
        <w:t>What was asked</w:t>
      </w:r>
    </w:p>
    <w:p>
      <w:pPr/>
      <w:r>
        <w:t>Produce one clear graphic of the payoff at maturity versus the underlying stock price, explicitly marking where the product does and does not outperform a direct stock investment.</w:t>
      </w:r>
    </w:p>
    <w:p>
      <w:pPr>
        <w:pStyle w:val="Heading3"/>
      </w:pPr>
      <w:r>
        <w:t>The payoff function and its three regimes</w:t>
      </w:r>
    </w:p>
    <w:p>
      <w:pPr/>
      <w:r>
        <w:t>CPN_T = S₀ + α · [ max(S_T − S₀, 0) − max(S_T − Cap, 0) ]</w:t>
      </w:r>
    </w:p>
    <w:p>
      <w:pPr/>
      <w:r>
        <w:t>In plain words, there are exactly three possible outcomes at maturity, depending only on where Rheinmetall’s stock price lands: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Terminal region</w:t>
            </w:r>
          </w:p>
        </w:tc>
        <w:tc>
          <w:tcPr>
            <w:tcW w:type="dxa" w:w="2880"/>
          </w:tcPr>
          <w:p>
            <w:r>
              <w:t>Payoff</w:t>
            </w:r>
          </w:p>
        </w:tc>
        <w:tc>
          <w:tcPr>
            <w:tcW w:type="dxa" w:w="2880"/>
          </w:tcPr>
          <w:p>
            <w:r>
              <w:t>vs. direct stock</w:t>
            </w:r>
          </w:p>
        </w:tc>
      </w:tr>
      <w:tr>
        <w:tc>
          <w:tcPr>
            <w:tcW w:type="dxa" w:w="2880"/>
          </w:tcPr>
          <w:p>
            <w:r>
              <w:t>S_T ≤ 1,207  (bearish)</w:t>
            </w:r>
          </w:p>
        </w:tc>
        <w:tc>
          <w:tcPr>
            <w:tcW w:type="dxa" w:w="2880"/>
          </w:tcPr>
          <w:p>
            <w:r>
              <w:t>Flat €1,207 — capital protected, no matter how far the stock fell</w:t>
            </w:r>
          </w:p>
        </w:tc>
        <w:tc>
          <w:tcPr>
            <w:tcW w:type="dxa" w:w="2880"/>
          </w:tcPr>
          <w:p>
            <w:r>
              <w:t>CPN outperforms (the stock lost money, the CPN did not)</w:t>
            </w:r>
          </w:p>
        </w:tc>
      </w:tr>
      <w:tr>
        <w:tc>
          <w:tcPr>
            <w:tcW w:type="dxa" w:w="2880"/>
          </w:tcPr>
          <w:p>
            <w:r>
              <w:t>1,207 &lt; S_T ≤ 1,569  (moderately bullish)</w:t>
            </w:r>
          </w:p>
        </w:tc>
        <w:tc>
          <w:tcPr>
            <w:tcW w:type="dxa" w:w="2880"/>
          </w:tcPr>
          <w:p>
            <w:r>
              <w:t>€1,207 + 0.852·(S_T − 1,207)</w:t>
            </w:r>
          </w:p>
        </w:tc>
        <w:tc>
          <w:tcPr>
            <w:tcW w:type="dxa" w:w="2880"/>
          </w:tcPr>
          <w:p>
            <w:r>
              <w:t>Stock is slightly ahead, since α &lt; 1, but the CPN is close behind</w:t>
            </w:r>
          </w:p>
        </w:tc>
      </w:tr>
      <w:tr>
        <w:tc>
          <w:tcPr>
            <w:tcW w:type="dxa" w:w="2880"/>
          </w:tcPr>
          <w:p>
            <w:r>
              <w:t>S_T &gt; 1,569  (strongly bullish)</w:t>
            </w:r>
          </w:p>
        </w:tc>
        <w:tc>
          <w:tcPr>
            <w:tcW w:type="dxa" w:w="2880"/>
          </w:tcPr>
          <w:p>
            <w:r>
              <w:t>Capped at €1,515.53 (+25.6%)</w:t>
            </w:r>
          </w:p>
        </w:tc>
        <w:tc>
          <w:tcPr>
            <w:tcW w:type="dxa" w:w="2880"/>
          </w:tcPr>
          <w:p>
            <w:r>
              <w:t>Stock clearly outperforms — all upside beyond +30% is given up</w:t>
            </w:r>
          </w:p>
        </w:tc>
      </w:tr>
    </w:tbl>
    <w:p/>
    <w:p>
      <w:pPr/>
      <w:r>
        <w:t>The notebook plot (graphs/payoff_profile.png) overlays the CPN, a direct stock holding, and a risk-free bond (which simply grows to ≈€1,306 by maturity), draws vertical markers at the protection level, the cap, and the break-even point versus the bond (S_T = K + (bond value − S₀)/α ≈ €1,323), and shades the regions where the CPN out- or under-performs — exactly the "mark where it does and does not outperform" requirement. A table beneath the chart quantifies the CPN, stock and bond values at nine representative terminal prices so the trade-off is visible in numbers, not just on the chart.</w:t>
      </w:r>
    </w:p>
    <w:p>
      <w:pPr>
        <w:pStyle w:val="Heading2"/>
      </w:pPr>
      <w:r>
        <w:t>3.4 Task IV — Market Size Estimation</w:t>
      </w:r>
    </w:p>
    <w:p>
      <w:pPr>
        <w:pStyle w:val="Heading3"/>
      </w:pPr>
      <w:r>
        <w:t>What was asked</w:t>
      </w:r>
    </w:p>
    <w:p>
      <w:pPr/>
      <w:r>
        <w:t>Estimate the total German market for this product class, using comparable products and investor demand as evidence. The anchor is the lecture’s market table (BSW/DDV 2023): the total German structured-product market outstanding is roughly €112 bn.</w:t>
      </w:r>
    </w:p>
    <w:p>
      <w:pPr>
        <w:pStyle w:val="Heading3"/>
      </w:pPr>
      <w:r>
        <w:t>The funnel calculation, step by step</w:t>
      </w:r>
    </w:p>
    <w:p>
      <w:pPr/>
      <w:r>
        <w:t>Think of this like a "top-down" market-sizing funnel used in any business case: start from the whole pie, then repeatedly ask what fraction of that pie is even relevant, until you get down to a single product.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Value</w:t>
            </w:r>
          </w:p>
        </w:tc>
        <w:tc>
          <w:tcPr>
            <w:tcW w:type="dxa" w:w="2880"/>
          </w:tcPr>
          <w:p>
            <w:r>
              <w:t>Source / logic</w:t>
            </w:r>
          </w:p>
        </w:tc>
      </w:tr>
      <w:tr>
        <w:tc>
          <w:tcPr>
            <w:tcW w:type="dxa" w:w="2880"/>
          </w:tcPr>
          <w:p>
            <w:r>
              <w:t>Total German structured-product market</w:t>
            </w:r>
          </w:p>
        </w:tc>
        <w:tc>
          <w:tcPr>
            <w:tcW w:type="dxa" w:w="2880"/>
          </w:tcPr>
          <w:p>
            <w:r>
              <w:t>EUR 112 bn</w:t>
            </w:r>
          </w:p>
        </w:tc>
        <w:tc>
          <w:tcPr>
            <w:tcW w:type="dxa" w:w="2880"/>
          </w:tcPr>
          <w:p>
            <w:r>
              <w:t>BSW 2023 table (lecture, slide 13)</w:t>
            </w:r>
          </w:p>
        </w:tc>
      </w:tr>
      <w:tr>
        <w:tc>
          <w:tcPr>
            <w:tcW w:type="dxa" w:w="2880"/>
          </w:tcPr>
          <w:p>
            <w:r>
              <w:t>Kapitalschutz (capital-protection) segment, 3.8% of the total</w:t>
            </w:r>
          </w:p>
        </w:tc>
        <w:tc>
          <w:tcPr>
            <w:tcW w:type="dxa" w:w="2880"/>
          </w:tcPr>
          <w:p>
            <w:r>
              <w:t>EUR 4.26 bn</w:t>
            </w:r>
          </w:p>
        </w:tc>
        <w:tc>
          <w:tcPr>
            <w:tcW w:type="dxa" w:w="2880"/>
          </w:tcPr>
          <w:p>
            <w:r>
              <w:t>DDV product-category share</w:t>
            </w:r>
          </w:p>
        </w:tc>
      </w:tr>
      <w:tr>
        <w:tc>
          <w:tcPr>
            <w:tcW w:type="dxa" w:w="2880"/>
          </w:tcPr>
          <w:p>
            <w:r>
              <w:t>of which participation notes (~55% of that segment)</w:t>
            </w:r>
          </w:p>
        </w:tc>
        <w:tc>
          <w:tcPr>
            <w:tcW w:type="dxa" w:w="2880"/>
          </w:tcPr>
          <w:p>
            <w:r>
              <w:t>EUR 2.34 bn</w:t>
            </w:r>
          </w:p>
        </w:tc>
        <w:tc>
          <w:tcPr>
            <w:tcW w:type="dxa" w:w="2880"/>
          </w:tcPr>
          <w:p>
            <w:r>
              <w:t>DDV sub-segment split (own estimate, since the lecture table reports only the segment total)</w:t>
            </w:r>
          </w:p>
        </w:tc>
      </w:tr>
      <w:tr>
        <w:tc>
          <w:tcPr>
            <w:tcW w:type="dxa" w:w="2880"/>
          </w:tcPr>
          <w:p>
            <w:r>
              <w:t>Estimated active issues, ≈ 130</w:t>
            </w:r>
          </w:p>
        </w:tc>
        <w:tc>
          <w:tcPr>
            <w:tcW w:type="dxa" w:w="2880"/>
          </w:tcPr>
          <w:p>
            <w:r>
              <w:t>≈ 6 issuers × ~20 products each</w:t>
            </w:r>
          </w:p>
        </w:tc>
        <w:tc>
          <w:tcPr>
            <w:tcW w:type="dxa" w:w="2880"/>
          </w:tcPr>
          <w:p>
            <w:r>
              <w:t>DZ BANK, Commerzbank, LBBW, Goldman Sachs, HypoVereinsbank/UniCredit, Société Générale</w:t>
            </w:r>
          </w:p>
        </w:tc>
      </w:tr>
      <w:tr>
        <w:tc>
          <w:tcPr>
            <w:tcW w:type="dxa" w:w="2880"/>
          </w:tcPr>
          <w:p>
            <w:r>
              <w:t>Average issue size</w:t>
            </w:r>
          </w:p>
        </w:tc>
        <w:tc>
          <w:tcPr>
            <w:tcW w:type="dxa" w:w="2880"/>
          </w:tcPr>
          <w:p>
            <w:r>
              <w:t>≈ EUR 33 mn</w:t>
            </w:r>
          </w:p>
        </w:tc>
        <w:tc>
          <w:tcPr>
            <w:tcW w:type="dxa" w:w="2880"/>
          </w:tcPr>
          <w:p>
            <w:r>
              <w:t>4.26 bn ÷ 130 — a plausible size for a Rheinmetall-linked CPN listed on EUWAX</w:t>
            </w:r>
          </w:p>
        </w:tc>
      </w:tr>
    </w:tbl>
    <w:p/>
    <w:p>
      <w:pPr/>
      <w:r>
        <w:t>For context, here is the full BSW 2023 segment breakdown the 3.8% figure above is taken from — capital-protection certificates are a small but well-established slice of a much larger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Segment</w:t>
            </w:r>
          </w:p>
        </w:tc>
        <w:tc>
          <w:tcPr>
            <w:tcW w:type="dxa" w:w="2880"/>
          </w:tcPr>
          <w:p>
            <w:r>
              <w:t>Volume (EUR mn)</w:t>
            </w:r>
          </w:p>
        </w:tc>
        <w:tc>
          <w:tcPr>
            <w:tcW w:type="dxa" w:w="2880"/>
          </w:tcPr>
          <w:p>
            <w:r>
              <w:t>Market share</w:t>
            </w:r>
          </w:p>
        </w:tc>
      </w:tr>
      <w:tr>
        <w:tc>
          <w:tcPr>
            <w:tcW w:type="dxa" w:w="2880"/>
          </w:tcPr>
          <w:p>
            <w:r>
              <w:t>Structured bonds</w:t>
            </w:r>
          </w:p>
        </w:tc>
        <w:tc>
          <w:tcPr>
            <w:tcW w:type="dxa" w:w="2880"/>
          </w:tcPr>
          <w:p>
            <w:r>
              <w:t>57,053</w:t>
            </w:r>
          </w:p>
        </w:tc>
        <w:tc>
          <w:tcPr>
            <w:tcW w:type="dxa" w:w="2880"/>
          </w:tcPr>
          <w:p>
            <w:r>
              <w:t>50.94%</w:t>
            </w:r>
          </w:p>
        </w:tc>
      </w:tr>
      <w:tr>
        <w:tc>
          <w:tcPr>
            <w:tcW w:type="dxa" w:w="2880"/>
          </w:tcPr>
          <w:p>
            <w:r>
              <w:t>Express certificates</w:t>
            </w:r>
          </w:p>
        </w:tc>
        <w:tc>
          <w:tcPr>
            <w:tcW w:type="dxa" w:w="2880"/>
          </w:tcPr>
          <w:p>
            <w:r>
              <w:t>26,721</w:t>
            </w:r>
          </w:p>
        </w:tc>
        <w:tc>
          <w:tcPr>
            <w:tcW w:type="dxa" w:w="2880"/>
          </w:tcPr>
          <w:p>
            <w:r>
              <w:t>23.86%</w:t>
            </w:r>
          </w:p>
        </w:tc>
      </w:tr>
      <w:tr>
        <w:tc>
          <w:tcPr>
            <w:tcW w:type="dxa" w:w="2880"/>
          </w:tcPr>
          <w:p>
            <w:r>
              <w:t>Equity-linked bonds</w:t>
            </w:r>
          </w:p>
        </w:tc>
        <w:tc>
          <w:tcPr>
            <w:tcW w:type="dxa" w:w="2880"/>
          </w:tcPr>
          <w:p>
            <w:r>
              <w:t>9,054</w:t>
            </w:r>
          </w:p>
        </w:tc>
        <w:tc>
          <w:tcPr>
            <w:tcW w:type="dxa" w:w="2880"/>
          </w:tcPr>
          <w:p>
            <w:r>
              <w:t>8.08%</w:t>
            </w:r>
          </w:p>
        </w:tc>
      </w:tr>
      <w:tr>
        <w:tc>
          <w:tcPr>
            <w:tcW w:type="dxa" w:w="2880"/>
          </w:tcPr>
          <w:p>
            <w:r>
              <w:t>Capital-protection certificates (this product’s class)</w:t>
            </w:r>
          </w:p>
        </w:tc>
        <w:tc>
          <w:tcPr>
            <w:tcW w:type="dxa" w:w="2880"/>
          </w:tcPr>
          <w:p>
            <w:r>
              <w:t>4,254</w:t>
            </w:r>
          </w:p>
        </w:tc>
        <w:tc>
          <w:tcPr>
            <w:tcW w:type="dxa" w:w="2880"/>
          </w:tcPr>
          <w:p>
            <w:r>
              <w:t>3.80%</w:t>
            </w:r>
          </w:p>
        </w:tc>
      </w:tr>
      <w:tr>
        <w:tc>
          <w:tcPr>
            <w:tcW w:type="dxa" w:w="2880"/>
          </w:tcPr>
          <w:p>
            <w:r>
              <w:t>Discount certificates</w:t>
            </w:r>
          </w:p>
        </w:tc>
        <w:tc>
          <w:tcPr>
            <w:tcW w:type="dxa" w:w="2880"/>
          </w:tcPr>
          <w:p>
            <w:r>
              <w:t>3,927</w:t>
            </w:r>
          </w:p>
        </w:tc>
        <w:tc>
          <w:tcPr>
            <w:tcW w:type="dxa" w:w="2880"/>
          </w:tcPr>
          <w:p>
            <w:r>
              <w:t>3.51%</w:t>
            </w:r>
          </w:p>
        </w:tc>
      </w:tr>
      <w:tr>
        <w:tc>
          <w:tcPr>
            <w:tcW w:type="dxa" w:w="2880"/>
          </w:tcPr>
          <w:p>
            <w:r>
              <w:t>Index/participation certificates</w:t>
            </w:r>
          </w:p>
        </w:tc>
        <w:tc>
          <w:tcPr>
            <w:tcW w:type="dxa" w:w="2880"/>
          </w:tcPr>
          <w:p>
            <w:r>
              <w:t>3,491</w:t>
            </w:r>
          </w:p>
        </w:tc>
        <w:tc>
          <w:tcPr>
            <w:tcW w:type="dxa" w:w="2880"/>
          </w:tcPr>
          <w:p>
            <w:r>
              <w:t>3.12%</w:t>
            </w:r>
          </w:p>
        </w:tc>
      </w:tr>
      <w:tr>
        <w:tc>
          <w:tcPr>
            <w:tcW w:type="dxa" w:w="2880"/>
          </w:tcPr>
          <w:p>
            <w:r>
              <w:t>Warrants &amp; knock-out products</w:t>
            </w:r>
          </w:p>
        </w:tc>
        <w:tc>
          <w:tcPr>
            <w:tcW w:type="dxa" w:w="2880"/>
          </w:tcPr>
          <w:p>
            <w:r>
              <w:t>2,542</w:t>
            </w:r>
          </w:p>
        </w:tc>
        <w:tc>
          <w:tcPr>
            <w:tcW w:type="dxa" w:w="2880"/>
          </w:tcPr>
          <w:p>
            <w:r>
              <w:t>2.27%</w:t>
            </w:r>
          </w:p>
        </w:tc>
      </w:tr>
      <w:tr>
        <w:tc>
          <w:tcPr>
            <w:tcW w:type="dxa" w:w="2880"/>
          </w:tcPr>
          <w:p>
            <w:r>
              <w:t>Outperformance/sprint &amp; others (no capital protection)</w:t>
            </w:r>
          </w:p>
        </w:tc>
        <w:tc>
          <w:tcPr>
            <w:tcW w:type="dxa" w:w="2880"/>
          </w:tcPr>
          <w:p>
            <w:r>
              <w:t>1,745</w:t>
            </w:r>
          </w:p>
        </w:tc>
        <w:tc>
          <w:tcPr>
            <w:tcW w:type="dxa" w:w="2880"/>
          </w:tcPr>
          <w:p>
            <w:r>
              <w:t>1.56%</w:t>
            </w:r>
          </w:p>
        </w:tc>
      </w:tr>
      <w:tr>
        <w:tc>
          <w:tcPr>
            <w:tcW w:type="dxa" w:w="2880"/>
          </w:tcPr>
          <w:p>
            <w:r>
              <w:t>Credit-linked notes</w:t>
            </w:r>
          </w:p>
        </w:tc>
        <w:tc>
          <w:tcPr>
            <w:tcW w:type="dxa" w:w="2880"/>
          </w:tcPr>
          <w:p>
            <w:r>
              <w:t>1,636</w:t>
            </w:r>
          </w:p>
        </w:tc>
        <w:tc>
          <w:tcPr>
            <w:tcW w:type="dxa" w:w="2880"/>
          </w:tcPr>
          <w:p>
            <w:r>
              <w:t>1.46%</w:t>
            </w:r>
          </w:p>
        </w:tc>
      </w:tr>
      <w:tr>
        <w:tc>
          <w:tcPr>
            <w:tcW w:type="dxa" w:w="2880"/>
          </w:tcPr>
          <w:p>
            <w:r>
              <w:t>Bonus certificates</w:t>
            </w:r>
          </w:p>
        </w:tc>
        <w:tc>
          <w:tcPr>
            <w:tcW w:type="dxa" w:w="2880"/>
          </w:tcPr>
          <w:p>
            <w:r>
              <w:t>1,200</w:t>
            </w:r>
          </w:p>
        </w:tc>
        <w:tc>
          <w:tcPr>
            <w:tcW w:type="dxa" w:w="2880"/>
          </w:tcPr>
          <w:p>
            <w:r>
              <w:t>1.07%</w:t>
            </w:r>
          </w:p>
        </w:tc>
      </w:tr>
      <w:tr>
        <w:tc>
          <w:tcPr>
            <w:tcW w:type="dxa" w:w="2880"/>
          </w:tcPr>
          <w:p>
            <w:r>
              <w:t>Constant-leverage certificates</w:t>
            </w:r>
          </w:p>
        </w:tc>
        <w:tc>
          <w:tcPr>
            <w:tcW w:type="dxa" w:w="2880"/>
          </w:tcPr>
          <w:p>
            <w:r>
              <w:t>373</w:t>
            </w:r>
          </w:p>
        </w:tc>
        <w:tc>
          <w:tcPr>
            <w:tcW w:type="dxa" w:w="2880"/>
          </w:tcPr>
          <w:p>
            <w:r>
              <w:t>0.33%</w:t>
            </w:r>
          </w:p>
        </w:tc>
      </w:tr>
      <w:tr>
        <w:tc>
          <w:tcPr>
            <w:tcW w:type="dxa" w:w="2880"/>
          </w:tcPr>
          <w:p>
            <w:r>
              <w:t>TOTAL</w:t>
            </w:r>
          </w:p>
        </w:tc>
        <w:tc>
          <w:tcPr>
            <w:tcW w:type="dxa" w:w="2880"/>
          </w:tcPr>
          <w:p>
            <w:r>
              <w:t>~112,000</w:t>
            </w:r>
          </w:p>
        </w:tc>
        <w:tc>
          <w:tcPr>
            <w:tcW w:type="dxa" w:w="2880"/>
          </w:tcPr>
          <w:p>
            <w:r>
              <w:t>100%</w:t>
            </w:r>
          </w:p>
        </w:tc>
      </w:tr>
    </w:tbl>
    <w:p/>
    <w:p>
      <w:pPr/>
      <w:r>
        <w:t>Demand reasoning, the qualitative half of the answer: Germany has a large cohort of security-oriented savers who nonetheless have specific sectoral convictions; declining deposit rates make capital-protected equity alternatives increasingly attractive versus a plain Tagesgeld savings account; equity participation is rising among 40–65-year-olds mainly through loss-protected instruments; and under MiFID II suitability rules, capital-protected notes qualify for conservative investor profiles where a bare equity position would not. In terms of complexity, this 3-component CPN sits between a discount certificate (2 components) and a bonus certificate.</w:t>
      </w:r>
    </w:p>
    <w:p>
      <w:pPr>
        <w:pStyle w:val="Heading1"/>
      </w:pPr>
      <w:r>
        <w:t>4. PART 2 — Valuation of a Traded Certificate (Tasks V–VII)</w:t>
      </w:r>
    </w:p>
    <w:p>
      <w:pPr>
        <w:pStyle w:val="Heading2"/>
      </w:pPr>
      <w:r>
        <w:t>4.1 The product: DU2076 Bonus Cap Certificate (DZ BANK)</w:t>
      </w:r>
    </w:p>
    <w:p>
      <w:pPr/>
      <w:r>
        <w:t>Part 2 requires a genuinely traded product on the same underlying, with at least one year (≥100 trading days) of daily prices available — and no open-end products allowed. The notebook uses DZ BANK’s Bonus Cap Certificate DU2076 / DE000DU20767 on Rheinmetall.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Issuer / type</w:t>
            </w:r>
          </w:p>
        </w:tc>
        <w:tc>
          <w:tcPr>
            <w:tcW w:type="dxa" w:w="4320"/>
          </w:tcPr>
          <w:p>
            <w:r>
              <w:t>DZ BANK AG — Bonus Cap Certificate (Bonus-Zertifikat mit Cap)</w:t>
            </w:r>
          </w:p>
        </w:tc>
      </w:tr>
      <w:tr>
        <w:tc>
          <w:tcPr>
            <w:tcW w:type="dxa" w:w="4320"/>
          </w:tcPr>
          <w:p>
            <w:r>
              <w:t>Underlying</w:t>
            </w:r>
          </w:p>
        </w:tc>
        <w:tc>
          <w:tcPr>
            <w:tcW w:type="dxa" w:w="4320"/>
          </w:tcPr>
          <w:p>
            <w:r>
              <w:t>Rheinmetall AG (DE0007030009, XETRA)</w:t>
            </w:r>
          </w:p>
        </w:tc>
      </w:tr>
      <w:tr>
        <w:tc>
          <w:tcPr>
            <w:tcW w:type="dxa" w:w="4320"/>
          </w:tcPr>
          <w:p>
            <w:r>
              <w:t>Knock-out barrier B (continuous)</w:t>
            </w:r>
          </w:p>
        </w:tc>
        <w:tc>
          <w:tcPr>
            <w:tcW w:type="dxa" w:w="4320"/>
          </w:tcPr>
          <w:p>
            <w:r>
              <w:t>EUR 1,050 — observed daily 04 Sep 2025 → 18 Jun 2027</w:t>
            </w:r>
          </w:p>
        </w:tc>
      </w:tr>
      <w:tr>
        <w:tc>
          <w:tcPr>
            <w:tcW w:type="dxa" w:w="4320"/>
          </w:tcPr>
          <w:p>
            <w:r>
              <w:t>Bonus / cap level K</w:t>
            </w:r>
          </w:p>
        </w:tc>
        <w:tc>
          <w:tcPr>
            <w:tcW w:type="dxa" w:w="4320"/>
          </w:tcPr>
          <w:p>
            <w:r>
              <w:t>EUR 2,000, participation ratio 1:1</w:t>
            </w:r>
          </w:p>
        </w:tc>
      </w:tr>
      <w:tr>
        <w:tc>
          <w:tcPr>
            <w:tcW w:type="dxa" w:w="4320"/>
          </w:tcPr>
          <w:p>
            <w:r>
              <w:t>Issue / last valuation / payment</w:t>
            </w:r>
          </w:p>
        </w:tc>
        <w:tc>
          <w:tcPr>
            <w:tcW w:type="dxa" w:w="4320"/>
          </w:tcPr>
          <w:p>
            <w:r>
              <w:t>04 Sep 2025 / 18 Jun 2027 / 25 Jun 2027</w:t>
            </w:r>
          </w:p>
        </w:tc>
      </w:tr>
      <w:tr>
        <w:tc>
          <w:tcPr>
            <w:tcW w:type="dxa" w:w="4320"/>
          </w:tcPr>
          <w:p>
            <w:r>
              <w:t>Data</w:t>
            </w:r>
          </w:p>
        </w:tc>
        <w:tc>
          <w:tcPr>
            <w:tcW w:type="dxa" w:w="4320"/>
          </w:tcPr>
          <w:p>
            <w:r>
              <w:t>Product page dzbank-wertpapiere.de/DU2076; KID PDF (bib-service.dzbank.de); daily closes exported from onvista.de into data/cert_prices.csv</w:t>
            </w:r>
          </w:p>
        </w:tc>
      </w:tr>
    </w:tbl>
    <w:p/>
    <w:p>
      <w:pPr/>
      <w:r>
        <w:t>Payoff at maturity:</w:t>
      </w:r>
    </w:p>
    <w:p>
      <w:pPr/>
      <w:r>
        <w:t>V_T = 2,000                    if S_t &gt; 1,050 for ALL t in [04 Sep 2025, 18 Jun 2027]</w:t>
      </w:r>
    </w:p>
    <w:p>
      <w:pPr/>
      <w:r>
        <w:t>V_T = min(S_T, 2,000)      if the barrier was touched at any time during that window</w:t>
      </w:r>
    </w:p>
    <w:p>
      <w:pPr/>
      <w:r>
        <w:t>In plain words: as long as Rheinmetall never trades at or below €1,050 at any point during the product’s life, the holder receives a flat €2,000 bonus no matter where the stock ends up — even if it only just scrapes above €1,050 the whole time. The moment the stock touches €1,050 even once, that bonus is gone forever, and the certificate becomes a simple capped long position in the stock. In exchange for giving up the dividend, the holder gets conditional downside protection plus a bonus above the current spot price — conditional, because a single bad day can permanently remove the protection.</w:t>
      </w:r>
    </w:p>
    <w:p>
      <w:pPr>
        <w:pStyle w:val="Heading2"/>
      </w:pPr>
      <w:r>
        <w:t>4.2 The pricing engine — decomposition and the binomial tree</w:t>
      </w:r>
    </w:p>
    <w:p>
      <w:pPr>
        <w:pStyle w:val="Heading3"/>
      </w:pPr>
      <w:r>
        <w:t>Decomposition — splitting the product into two simpler pieces</w:t>
      </w:r>
    </w:p>
    <w:p>
      <w:pPr/>
      <w:r>
        <w:t>A useful trick for pricing a complicated product is to notice it is secretly two simpler products glued together. Here, the certificate splits cleanly into two building blocks, priced together on one tree:</w:t>
      </w:r>
    </w:p>
    <w:p>
      <w:pPr/>
      <w:r>
        <w:t>V_cert(S₀) = V_DO-put(S₀; K = 2,000, B = 1,050) + V_capped-fwd(S₀; K = 2,000)</w:t>
      </w:r>
    </w:p>
    <w:p>
      <w:pPr>
        <w:pStyle w:val="ListBullet"/>
      </w:pPr>
      <w:r>
        <w:t>Capped forward: pays min(S_T, K) at maturity — in plain terms, this is exactly like owning the stock outright while simultaneously having sold away all the gains above K.</w:t>
      </w:r>
    </w:p>
    <w:p>
      <w:pPr>
        <w:pStyle w:val="ListBullet"/>
      </w:pPr>
      <w:r>
        <w:t>Down-and-out put: pays max(K − S_T, 0), but only if the stock never touched the barrier B along the way. A normal put pays off whenever the stock ends up below K; this one has an extra, path-dependent trapdoor: touch B even once, at any moment, and the whole payoff disappears permanently, regardless of where the stock ends up.</w:t>
      </w:r>
    </w:p>
    <w:p>
      <w:pPr/>
      <w:r>
        <w:t>In the no-touch state, these two pieces add up to min(S_T,K) + (K − S_T)⁺ = K = the €2,000 bonus; after a knock-out, only min(S_T, K) survives. This decomposition reproduces the term sheet exactly, and it is what makes the product tractable to price on a single tree.</w:t>
      </w:r>
    </w:p>
    <w:p>
      <w:pPr>
        <w:pStyle w:val="Heading3"/>
      </w:pPr>
      <w:r>
        <w:t>Why Black-Scholes cannot price this — the path-dependency argument</w:t>
      </w:r>
    </w:p>
    <w:p>
      <w:pPr/>
      <w:r>
        <w:t>Black-Scholes prices payoffs that depend only on the terminal stock price S_T. It imagines one single jump from today’s price straight to the price at expiry, and has absolutely no concept of what happened along the way. For a plain call or put that is completely fine, because their payoff genuinely only cares where the stock ends up.</w:t>
      </w:r>
    </w:p>
    <w:p>
      <w:pPr/>
      <w:r>
        <w:t>The DU2076 barrier condition is fundamentally different — it is a statement about the ENTIRE path, not the endpoint. Touching €1,050 in, say, March 2026 permanently kills the bonus, even if the stock fully recovers to €1,900 by maturity. A model with no concept of intermediate time steps simply cannot answer the question "did the stock ever cross the barrier?" Any product whose payoff depends on the path — barriers, Asian options, lookbacks — needs a lattice (tree), a Monte Carlo simulation, or a specifically derived closed-form formula. Hence, here, the CRR binomial tree.</w:t>
      </w:r>
    </w:p>
    <w:p>
      <w:pPr>
        <w:pStyle w:val="Heading3"/>
      </w:pPr>
      <w:r>
        <w:t>CRR binomial tree mechanics (Session 2, slides 57–59)</w:t>
      </w:r>
    </w:p>
    <w:p>
      <w:pPr/>
      <w:r>
        <w:t>Here is the tree recipe, step by step, in plain language before the formulas:</w:t>
      </w:r>
    </w:p>
    <w:p>
      <w:pPr>
        <w:pStyle w:val="ListBullet"/>
      </w:pPr>
      <w:r>
        <w:t>1. Chop the remaining time to maturity into N small, equal time steps, each of length Δt = T/N — think of cutting a long road trip into hundreds of tiny, equal segments.</w:t>
      </w:r>
    </w:p>
    <w:p>
      <w:pPr>
        <w:pStyle w:val="ListBullet"/>
      </w:pPr>
      <w:r>
        <w:t>2. At every single time step, the stock is only allowed to do one of two things: move UP by a fixed multiplier u, or move DOWN by a fixed multiplier d = 1/u, both calibrated so the tree reproduces the stock’s actual annualised volatility σ:</w:t>
      </w:r>
    </w:p>
    <w:p>
      <w:pPr/>
      <w:r>
        <w:t>u = e^(σ√Δt),   d = 1/u = e^(−σ√Δt)</w:t>
      </w:r>
    </w:p>
    <w:p>
      <w:pPr>
        <w:pStyle w:val="ListBullet"/>
      </w:pPr>
      <w:r>
        <w:t>3. Because u·d = 1, an up-move followed by a down-move lands you exactly back where you started — the tree "recombines," meaning that at step n there are only n+1 distinct possible prices instead of an explosively large number of paths, with node (n, j) sitting at S₀·uʲ·dⁿ⁻ʲ.</w:t>
      </w:r>
    </w:p>
    <w:p>
      <w:pPr>
        <w:pStyle w:val="ListBullet"/>
      </w:pPr>
      <w:r>
        <w:t>4. At every node, we also need the odds of an up-move versus a down-move — but here is the subtle and important part: this is NOT our real, personal guess about where Rheinmetall is heading. It is a purely mathematical probability, chosen so that the tree is arbitrage-free — meaning no one could construct a trade using the stock and a bond that makes free money off today’s price being "wrong." Imposing this no-arbitrage condition under a continuous dividend yield θ (S₀ = e^(−rΔt)·E[S_next·e^(θΔt)]) gives the risk-neutral up-probability (slide 59):</w:t>
      </w:r>
    </w:p>
    <w:p>
      <w:pPr/>
      <w:r>
        <w:t>q = (e^((r−θ)Δt) − d) / (u − d)</w:t>
      </w:r>
    </w:p>
    <w:p>
      <w:pPr/>
      <w:r>
        <w:t>Because q is a pricing device rather than a forecast, the tree needs only the stock’s risk characteristics (u and d, i.e. σ) — never anyone’s actual belief about its true drift or direction. Backward induction then proceeds:</w:t>
      </w:r>
    </w:p>
    <w:p>
      <w:pPr>
        <w:pStyle w:val="ListBullet"/>
      </w:pPr>
      <w:r>
        <w:t>1. Terminal payoffs at the final step N: compute V_DO = max(K − S, 0) at each terminal node, immediately zeroed out at any node where S ≤ B; compute V_cf = min(S, K).</w:t>
      </w:r>
    </w:p>
    <w:p>
      <w:pPr>
        <w:pStyle w:val="ListBullet"/>
      </w:pPr>
      <w:r>
        <w:t>2. Roll back one time step at a time: V(n,j) = e^(−rΔt)·[q·V(n+1, j+1) + (1−q)·V(n+1, j)] — literally just a probability-weighted, discounted average of the two possible next-step values, one step at a time, working backwards from the end towards today.</w:t>
      </w:r>
    </w:p>
    <w:p>
      <w:pPr>
        <w:pStyle w:val="ListBullet"/>
      </w:pPr>
      <w:r>
        <w:t>3. Barrier absorption at every single step along the way: any node whose stock price sits at or below B = 1,050 has its down-and-out-put value forced to zero before rolling back further — knocked-out value correctly propagates through the rest of the tree as exactly zero.</w:t>
      </w:r>
    </w:p>
    <w:p>
      <w:pPr>
        <w:pStyle w:val="ListBullet"/>
      </w:pPr>
      <w:r>
        <w:t>4. The value sitting at the very root of the tree, V(0,0), is the model’s fair price for the certificate today.</w:t>
      </w:r>
    </w:p>
    <w:p>
      <w:pPr/>
      <w:r>
        <w:t>One implementation detail worth citing in an oral defence: the pricer actually averages an N-step tree and an (N+1)-step tree together. This is because barrier-option tree prices oscillate slightly between even and odd N — the barrier falls between node layers differently depending on parity — and averaging the two cancels this odd-even wobble, smoothing both the price and the Greeks computed from it later. The daily valuation loop runs N = 200 steps, which on a roughly 1.8-year maturity puts each step at about 2.3 trading days.</w:t>
      </w:r>
    </w:p>
    <w:p>
      <w:pPr>
        <w:pStyle w:val="Heading2"/>
      </w:pPr>
      <w:r>
        <w:t>4.3 Task V — Daily Valuation over 100+ Days</w:t>
      </w:r>
    </w:p>
    <w:p>
      <w:pPr>
        <w:pStyle w:val="Heading3"/>
      </w:pPr>
      <w:r>
        <w:t>What was asked</w:t>
      </w:r>
    </w:p>
    <w:p>
      <w:pPr/>
      <w:r>
        <w:t>Value the product with the preferred method over a window of at least 100 trading days, compare the daily model prices against observed market prices, report error metrics in a table, and comment on why model and market prices differ.</w:t>
      </w:r>
    </w:p>
    <w:p>
      <w:pPr>
        <w:pStyle w:val="Heading3"/>
      </w:pPr>
      <w:r>
        <w:t>Methodology — the daily loop, in plain steps</w:t>
      </w:r>
    </w:p>
    <w:p>
      <w:pPr/>
      <w:r>
        <w:t>Market prices: 183 daily DU2076 closing prices (04 Sep 2025 – 01 Jun 2026, the full trading history of the certificate) exported from onvista.de (semicolon-separated, German decimal format) into data/cert_prices.csv, aligned with the stock’s own trading dates. Then, for every single trading day in that window:</w:t>
      </w:r>
    </w:p>
    <w:p>
      <w:pPr>
        <w:pStyle w:val="ListBullet"/>
      </w:pPr>
      <w:r>
        <w:t>1. Recompute the remaining maturity, T_rem = (18 Jun 2027 − today)/365 — freshly calculated on every day, exactly as the brief requires.</w:t>
      </w:r>
    </w:p>
    <w:p>
      <w:pPr>
        <w:pStyle w:val="ListBullet"/>
      </w:pPr>
      <w:r>
        <w:t>2. Look up that day’s risk-free rate, r(T_rem), from that day’s ECB Svensson parameters (maturity-matched, carried forward over non-business days).</w:t>
      </w:r>
    </w:p>
    <w:p>
      <w:pPr>
        <w:pStyle w:val="ListBullet"/>
      </w:pPr>
      <w:r>
        <w:t>3. Look up that day’s 30-day rolling historical volatility σₜ (clipped to [10%, 60%]) — over this particular window it ranged 26.3%–58.6%, averaging 44.4%.</w:t>
      </w:r>
    </w:p>
    <w:p>
      <w:pPr>
        <w:pStyle w:val="ListBullet"/>
      </w:pPr>
      <w:r>
        <w:t>4. Feed all of that into the tree: Model price = bonus_cap_cert_price(Sₜ, 2000, 1050, rₜ, q = 0.95%, σₜ, T_rem), using the N/N+1 averaged tree described above.</w:t>
      </w:r>
    </w:p>
    <w:p>
      <w:pPr>
        <w:pStyle w:val="Heading3"/>
      </w:pPr>
      <w:r>
        <w:t>Error metrics — what they mean and what came out</w:t>
      </w:r>
    </w:p>
    <w:p>
      <w:pPr/>
      <w:r>
        <w:t>Four standard error measures, explained in plain terms before the formulas:</w:t>
      </w:r>
    </w:p>
    <w:p>
      <w:pPr>
        <w:pStyle w:val="ListBullet"/>
      </w:pPr>
      <w:r>
        <w:t>ME (Mean Error) just adds up the signed errors (model minus market) and divides by the count — it tells you whether you are, on average, pricing too high or too low.</w:t>
      </w:r>
    </w:p>
    <w:p>
      <w:pPr>
        <w:pStyle w:val="ListBullet"/>
      </w:pPr>
      <w:r>
        <w:t>MAE (Mean Absolute Error) ignores the sign and asks: on a typical day, how many euros off was the model?</w:t>
      </w:r>
    </w:p>
    <w:p>
      <w:pPr>
        <w:pStyle w:val="ListBullet"/>
      </w:pPr>
      <w:r>
        <w:t>RMSE (Root Mean Squared Error) does something similar but squares the errors first — this means one very bad day is punished more heavily than several small, spread-out misses.</w:t>
      </w:r>
    </w:p>
    <w:p>
      <w:pPr>
        <w:pStyle w:val="ListBullet"/>
      </w:pPr>
      <w:r>
        <w:t>MAPE (Mean Absolute Percentage Error) expresses that typical euro error as a percentage of the certificate’s price, which makes it comparable across different price levels.</w:t>
      </w:r>
    </w:p>
    <w:p>
      <w:pPr/>
      <w:r>
        <w:t>ME = (1/n)·Σ(P̂ᵢ − Pᵢ)        MAE = (1/n)·Σ|P̂ᵢ − Pᵢ|</w:t>
      </w:r>
    </w:p>
    <w:p>
      <w:pPr/>
      <w:r>
        <w:t>RMSE = √[(1/n)·Σ(P̂ᵢ − Pᵢ)²]      MAPE = (1/n)·Σ|P̂ᵢ − Pᵢ|/Pᵢ · 100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Reading</w:t>
            </w:r>
          </w:p>
        </w:tc>
      </w:tr>
      <w:tr>
        <w:tc>
          <w:tcPr>
            <w:tcW w:type="dxa" w:w="2880"/>
          </w:tcPr>
          <w:p>
            <w:r>
              <w:t>Mean Error (ME)</w:t>
            </w:r>
          </w:p>
        </w:tc>
        <w:tc>
          <w:tcPr>
            <w:tcW w:type="dxa" w:w="2880"/>
          </w:tcPr>
          <w:p>
            <w:r>
              <w:t>−94.25 EUR</w:t>
            </w:r>
          </w:p>
        </w:tc>
        <w:tc>
          <w:tcPr>
            <w:tcW w:type="dxa" w:w="2880"/>
          </w:tcPr>
          <w:p>
            <w:r>
              <w:t>Systematic UNDER-pricing by the model</w:t>
            </w:r>
          </w:p>
        </w:tc>
      </w:tr>
      <w:tr>
        <w:tc>
          <w:tcPr>
            <w:tcW w:type="dxa" w:w="2880"/>
          </w:tcPr>
          <w:p>
            <w:r>
              <w:t>MAE</w:t>
            </w:r>
          </w:p>
        </w:tc>
        <w:tc>
          <w:tcPr>
            <w:tcW w:type="dxa" w:w="2880"/>
          </w:tcPr>
          <w:p>
            <w:r>
              <w:t>110.89 EUR</w:t>
            </w:r>
          </w:p>
        </w:tc>
        <w:tc>
          <w:tcPr>
            <w:tcW w:type="dxa" w:w="2880"/>
          </w:tcPr>
          <w:p>
            <w:r>
              <w:t>≈ 7% of a ~EUR 1,500 certificate, on a typical day</w:t>
            </w:r>
          </w:p>
        </w:tc>
      </w:tr>
      <w:tr>
        <w:tc>
          <w:tcPr>
            <w:tcW w:type="dxa" w:w="2880"/>
          </w:tcPr>
          <w:p>
            <w:r>
              <w:t>RMSE</w:t>
            </w:r>
          </w:p>
        </w:tc>
        <w:tc>
          <w:tcPr>
            <w:tcW w:type="dxa" w:w="2880"/>
          </w:tcPr>
          <w:p>
            <w:r>
              <w:t>123.31 EUR</w:t>
            </w:r>
          </w:p>
        </w:tc>
        <w:tc>
          <w:tcPr>
            <w:tcW w:type="dxa" w:w="2880"/>
          </w:tcPr>
          <w:p>
            <w:r>
              <w:t>Errors are fairly uniform in size; no single huge outlier dominates the picture</w:t>
            </w:r>
          </w:p>
        </w:tc>
      </w:tr>
      <w:tr>
        <w:tc>
          <w:tcPr>
            <w:tcW w:type="dxa" w:w="2880"/>
          </w:tcPr>
          <w:p>
            <w:r>
              <w:t>MAPE</w:t>
            </w:r>
          </w:p>
        </w:tc>
        <w:tc>
          <w:tcPr>
            <w:tcW w:type="dxa" w:w="2880"/>
          </w:tcPr>
          <w:p>
            <w:r>
              <w:t>7.11%</w:t>
            </w:r>
          </w:p>
        </w:tc>
        <w:tc>
          <w:tcPr>
            <w:tcW w:type="dxa" w:w="2880"/>
          </w:tcPr>
          <w:p>
            <w:r>
              <w:t>The relative scale of the misfit</w:t>
            </w:r>
          </w:p>
        </w:tc>
      </w:tr>
      <w:tr>
        <w:tc>
          <w:tcPr>
            <w:tcW w:type="dxa" w:w="2880"/>
          </w:tcPr>
          <w:p>
            <w:r>
              <w:t>Error quantiles (25/50/75/95%)</w:t>
            </w:r>
          </w:p>
        </w:tc>
        <w:tc>
          <w:tcPr>
            <w:tcW w:type="dxa" w:w="2880"/>
          </w:tcPr>
          <w:p>
            <w:r>
              <w:t>−153.6 / −95.0 / −56.4 / +75.6 EUR</w:t>
            </w:r>
          </w:p>
        </w:tc>
        <w:tc>
          <w:tcPr>
            <w:tcW w:type="dxa" w:w="2880"/>
          </w:tcPr>
          <w:p>
            <w:r>
              <w:t>The bulk of days sit below zero — this is a genuine bias, not random noise</w:t>
            </w:r>
          </w:p>
        </w:tc>
      </w:tr>
    </w:tbl>
    <w:p/>
    <w:p>
      <w:pPr/>
      <w:r>
        <w:t>A few concrete rows from the 183-day window make this tangible — actual executed output, not illustrative numbers: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RHM (EUR)</w:t>
            </w:r>
          </w:p>
        </w:tc>
        <w:tc>
          <w:tcPr>
            <w:tcW w:type="dxa" w:w="1440"/>
          </w:tcPr>
          <w:p>
            <w:r>
              <w:t>Roll Vol</w:t>
            </w:r>
          </w:p>
        </w:tc>
        <w:tc>
          <w:tcPr>
            <w:tcW w:type="dxa" w:w="1440"/>
          </w:tcPr>
          <w:p>
            <w:r>
              <w:t>Model (EUR)</w:t>
            </w:r>
          </w:p>
        </w:tc>
        <w:tc>
          <w:tcPr>
            <w:tcW w:type="dxa" w:w="1440"/>
          </w:tcPr>
          <w:p>
            <w:r>
              <w:t>Mkt (EUR)</w:t>
            </w:r>
          </w:p>
        </w:tc>
        <w:tc>
          <w:tcPr>
            <w:tcW w:type="dxa" w:w="1440"/>
          </w:tcPr>
          <w:p>
            <w:r>
              <w:t>Error (EUR)</w:t>
            </w:r>
          </w:p>
        </w:tc>
      </w:tr>
      <w:tr>
        <w:tc>
          <w:tcPr>
            <w:tcW w:type="dxa" w:w="1440"/>
          </w:tcPr>
          <w:p>
            <w:r>
              <w:t>04 Sep 2025</w:t>
            </w:r>
          </w:p>
        </w:tc>
        <w:tc>
          <w:tcPr>
            <w:tcW w:type="dxa" w:w="1440"/>
          </w:tcPr>
          <w:p>
            <w:r>
              <w:t>1707.93</w:t>
            </w:r>
          </w:p>
        </w:tc>
        <w:tc>
          <w:tcPr>
            <w:tcW w:type="dxa" w:w="1440"/>
          </w:tcPr>
          <w:p>
            <w:r>
              <w:t>43.0%</w:t>
            </w:r>
          </w:p>
        </w:tc>
        <w:tc>
          <w:tcPr>
            <w:tcW w:type="dxa" w:w="1440"/>
          </w:tcPr>
          <w:p>
            <w:r>
              <w:t>1481.75</w:t>
            </w:r>
          </w:p>
        </w:tc>
        <w:tc>
          <w:tcPr>
            <w:tcW w:type="dxa" w:w="1440"/>
          </w:tcPr>
          <w:p>
            <w:r>
              <w:t>1635.75</w:t>
            </w:r>
          </w:p>
        </w:tc>
        <w:tc>
          <w:tcPr>
            <w:tcW w:type="dxa" w:w="1440"/>
          </w:tcPr>
          <w:p>
            <w:r>
              <w:t>-154.00</w:t>
            </w:r>
          </w:p>
        </w:tc>
      </w:tr>
      <w:tr>
        <w:tc>
          <w:tcPr>
            <w:tcW w:type="dxa" w:w="1440"/>
          </w:tcPr>
          <w:p>
            <w:r>
              <w:t>18 Sep 2025 (best fit)</w:t>
            </w:r>
          </w:p>
        </w:tc>
        <w:tc>
          <w:tcPr>
            <w:tcW w:type="dxa" w:w="1440"/>
          </w:tcPr>
          <w:p>
            <w:r>
              <w:t>1900.50</w:t>
            </w:r>
          </w:p>
        </w:tc>
        <w:tc>
          <w:tcPr>
            <w:tcW w:type="dxa" w:w="1440"/>
          </w:tcPr>
          <w:p>
            <w:r>
              <w:t>34.9%</w:t>
            </w:r>
          </w:p>
        </w:tc>
        <w:tc>
          <w:tcPr>
            <w:tcW w:type="dxa" w:w="1440"/>
          </w:tcPr>
          <w:p>
            <w:r>
              <w:t>1704.93</w:t>
            </w:r>
          </w:p>
        </w:tc>
        <w:tc>
          <w:tcPr>
            <w:tcW w:type="dxa" w:w="1440"/>
          </w:tcPr>
          <w:p>
            <w:r>
              <w:t>1708.18</w:t>
            </w:r>
          </w:p>
        </w:tc>
        <w:tc>
          <w:tcPr>
            <w:tcW w:type="dxa" w:w="1440"/>
          </w:tcPr>
          <w:p>
            <w:r>
              <w:t>-3.25</w:t>
            </w:r>
          </w:p>
        </w:tc>
      </w:tr>
      <w:tr>
        <w:tc>
          <w:tcPr>
            <w:tcW w:type="dxa" w:w="1440"/>
          </w:tcPr>
          <w:p>
            <w:r>
              <w:t>05 Jan 2026 (worst fit)</w:t>
            </w:r>
          </w:p>
        </w:tc>
        <w:tc>
          <w:tcPr>
            <w:tcW w:type="dxa" w:w="1440"/>
          </w:tcPr>
          <w:p>
            <w:r>
              <w:t>1734.66</w:t>
            </w:r>
          </w:p>
        </w:tc>
        <w:tc>
          <w:tcPr>
            <w:tcW w:type="dxa" w:w="1440"/>
          </w:tcPr>
          <w:p>
            <w:r>
              <w:t>53.6%</w:t>
            </w:r>
          </w:p>
        </w:tc>
        <w:tc>
          <w:tcPr>
            <w:tcW w:type="dxa" w:w="1440"/>
          </w:tcPr>
          <w:p>
            <w:r>
              <w:t>1437.49</w:t>
            </w:r>
          </w:p>
        </w:tc>
        <w:tc>
          <w:tcPr>
            <w:tcW w:type="dxa" w:w="1440"/>
          </w:tcPr>
          <w:p>
            <w:r>
              <w:t>1682.59</w:t>
            </w:r>
          </w:p>
        </w:tc>
        <w:tc>
          <w:tcPr>
            <w:tcW w:type="dxa" w:w="1440"/>
          </w:tcPr>
          <w:p>
            <w:r>
              <w:t>-245.10</w:t>
            </w:r>
          </w:p>
        </w:tc>
      </w:tr>
      <w:tr>
        <w:tc>
          <w:tcPr>
            <w:tcW w:type="dxa" w:w="1440"/>
          </w:tcPr>
          <w:p>
            <w:r>
              <w:t>15 May 2026 (closest to barrier)</w:t>
            </w:r>
          </w:p>
        </w:tc>
        <w:tc>
          <w:tcPr>
            <w:tcW w:type="dxa" w:w="1440"/>
          </w:tcPr>
          <w:p>
            <w:r>
              <w:t>1120.00</w:t>
            </w:r>
          </w:p>
        </w:tc>
        <w:tc>
          <w:tcPr>
            <w:tcW w:type="dxa" w:w="1440"/>
          </w:tcPr>
          <w:p>
            <w:r>
              <w:t>56.8%</w:t>
            </w:r>
          </w:p>
        </w:tc>
        <w:tc>
          <w:tcPr>
            <w:tcW w:type="dxa" w:w="1440"/>
          </w:tcPr>
          <w:p>
            <w:r>
              <w:t>1047.31</w:t>
            </w:r>
          </w:p>
        </w:tc>
        <w:tc>
          <w:tcPr>
            <w:tcW w:type="dxa" w:w="1440"/>
          </w:tcPr>
          <w:p>
            <w:r>
              <w:t>1112.65</w:t>
            </w:r>
          </w:p>
        </w:tc>
        <w:tc>
          <w:tcPr>
            <w:tcW w:type="dxa" w:w="1440"/>
          </w:tcPr>
          <w:p>
            <w:r>
              <w:t>-65.34</w:t>
            </w:r>
          </w:p>
        </w:tc>
      </w:tr>
      <w:tr>
        <w:tc>
          <w:tcPr>
            <w:tcW w:type="dxa" w:w="1440"/>
          </w:tcPr>
          <w:p>
            <w:r>
              <w:t>01 Jun 2026 (last day)</w:t>
            </w:r>
          </w:p>
        </w:tc>
        <w:tc>
          <w:tcPr>
            <w:tcW w:type="dxa" w:w="1440"/>
          </w:tcPr>
          <w:p>
            <w:r>
              <w:t>1207.00</w:t>
            </w:r>
          </w:p>
        </w:tc>
        <w:tc>
          <w:tcPr>
            <w:tcW w:type="dxa" w:w="1440"/>
          </w:tcPr>
          <w:p>
            <w:r>
              <w:t>54.4%</w:t>
            </w:r>
          </w:p>
        </w:tc>
        <w:tc>
          <w:tcPr>
            <w:tcW w:type="dxa" w:w="1440"/>
          </w:tcPr>
          <w:p>
            <w:r>
              <w:t>1146.56</w:t>
            </w:r>
          </w:p>
        </w:tc>
        <w:tc>
          <w:tcPr>
            <w:tcW w:type="dxa" w:w="1440"/>
          </w:tcPr>
          <w:p>
            <w:r>
              <w:t>1236.07</w:t>
            </w:r>
          </w:p>
        </w:tc>
        <w:tc>
          <w:tcPr>
            <w:tcW w:type="dxa" w:w="1440"/>
          </w:tcPr>
          <w:p>
            <w:r>
              <w:t>-89.51</w:t>
            </w:r>
          </w:p>
        </w:tc>
      </w:tr>
    </w:tbl>
    <w:p/>
    <w:p>
      <w:pPr>
        <w:pStyle w:val="Heading3"/>
      </w:pPr>
      <w:r>
        <w:t>Why is there a pricing error? (the marks-earning discussion)</w:t>
      </w:r>
    </w:p>
    <w:p>
      <w:pPr>
        <w:pStyle w:val="ListBullet"/>
      </w:pPr>
      <w:r>
        <w:t>Issuer margin: think of it like a shop marking up its wholesale cost before selling to you. Every observed onvista closing price embeds DZ BANK’s own manufacturing and distribution spread on top of the no-arbitrage fair value; a purely risk-neutral tree has no way to reproduce that commercial margin, so the model sits below the quoted price by roughly that spread amount.</w:t>
      </w:r>
    </w:p>
    <w:p>
      <w:pPr>
        <w:pStyle w:val="ListBullet"/>
      </w:pPr>
      <w:r>
        <w:t>Implied vs. realized volatility (Session 2, slides 5–7): the market prices options using implied volatility — essentially, the market’s current collective fear or complacency about future swings, backed out from prices. Our tree instead uses realized (historical) volatility — what actually happened, looking backwards. On average, implied volatility runs above realized volatility, meaning options are, on average, priced a bit "expensive." For DU2076 specifically, this certificate has NEGATIVE vega — a higher volatility means a higher chance of touching the barrier, which destroys the expected bonus and lowers the certificate’s value. The 30-day realized volatility used here (mean 44.4%) ran higher than what the market appeared to be implicitly pricing in, so the model assumed too much barrier-breach risk and systematically underpriced the certificate.</w:t>
      </w:r>
    </w:p>
    <w:p>
      <w:pPr>
        <w:pStyle w:val="ListBullet"/>
      </w:pPr>
      <w:r>
        <w:t>Where the fit was best and worst: best on 18 Sep 2025 (error ≈ −3 EUR), when the rolling volatility briefly dipped to around 35% and the volatility gap essentially closed; worst on 05 Jan 2026 (−245 EUR), during the high-volatility turn of the year. This pattern is itself supporting evidence for the volatility-gap explanation.</w:t>
      </w:r>
    </w:p>
    <w:p>
      <w:pPr>
        <w:pStyle w:val="Heading2"/>
      </w:pPr>
      <w:r>
        <w:t>4.4 Task VI — Sensitivity Analysis (Greeks)</w:t>
      </w:r>
    </w:p>
    <w:p>
      <w:pPr>
        <w:pStyle w:val="Heading3"/>
      </w:pPr>
      <w:r>
        <w:t>What was asked</w:t>
      </w:r>
    </w:p>
    <w:p>
      <w:pPr/>
      <w:r>
        <w:t>Plot the "Greeks" — at least Delta, Gamma and Vega, which must also appear on the poster; Theta and Rho may be left for the oral presentation — and discuss what they mean. Inputs may be observed or sensible, made-up values.</w:t>
      </w:r>
    </w:p>
    <w:p>
      <w:pPr>
        <w:pStyle w:val="Heading3"/>
      </w:pPr>
      <w:r>
        <w:t>What are "the Greeks", in plain English?</w:t>
      </w:r>
    </w:p>
    <w:p>
      <w:pPr/>
      <w:r>
        <w:t>The Greeks are just five different ways of asking "if one input nudges slightly, how much does the certificate’s value move?" — like sensitivity dials on a mixing board.</w:t>
      </w:r>
    </w:p>
    <w:p>
      <w:pPr>
        <w:pStyle w:val="ListBullet"/>
      </w:pPr>
      <w:r>
        <w:t>Delta — how many cents the certificate’s price moves for every 1-euro move in the stock. Think of it as the certificate’s "speed" relative to the stock.</w:t>
      </w:r>
    </w:p>
    <w:p>
      <w:pPr>
        <w:pStyle w:val="ListBullet"/>
      </w:pPr>
      <w:r>
        <w:t>Gamma — how much that speed itself changes as the stock moves further. Think of it as the certificate’s "acceleration."</w:t>
      </w:r>
    </w:p>
    <w:p>
      <w:pPr>
        <w:pStyle w:val="ListBullet"/>
      </w:pPr>
      <w:r>
        <w:t>Vega — how much the value changes if the market suddenly becomes 1 percentage point more (or less) nervous about future price swings.</w:t>
      </w:r>
    </w:p>
    <w:p>
      <w:pPr>
        <w:pStyle w:val="ListBullet"/>
      </w:pPr>
      <w:r>
        <w:t>Theta — how much value is gained or lost purely from one calendar day passing, with nothing else changing — "time decay."</w:t>
      </w:r>
    </w:p>
    <w:p>
      <w:pPr>
        <w:pStyle w:val="ListBullet"/>
      </w:pPr>
      <w:r>
        <w:t>Rho — how much the value changes if interest rates move by one percentage point.</w:t>
      </w:r>
    </w:p>
    <w:p>
      <w:pPr>
        <w:pStyle w:val="Heading3"/>
      </w:pPr>
      <w:r>
        <w:t>Theory — analytic vs. numerical Greeks</w:t>
      </w:r>
    </w:p>
    <w:p>
      <w:pPr/>
      <w:r>
        <w:t>For plain vanilla options, closed-form formulas for the Greeks exist directly (Session 2, slide 12), with N′(x) = e^(−x²/2)/√(2π):</w:t>
      </w:r>
    </w:p>
    <w:p>
      <w:pPr/>
      <w:r>
        <w:t>Δ_call = N(d₁),   Δ_put = N(d₁) − 1,   Γ = N′(d₁)/(S·σ·√T),   Vega = S·N′(d₁)·√T</w:t>
      </w:r>
    </w:p>
    <w:p>
      <w:pPr/>
      <w:r>
        <w:t>But the bonus-cap certificate has no such closed form — its barrier makes it path-dependent — so the notebook uses the recommended alternative: numerical central finite differences. In plain terms, this means: nudge one input up a little and re-price the whole certificate on the tree; nudge it down by the same amount and re-price again; the difference between those two re-prices, divided by twice the nudge size, IS the Greek.</w:t>
      </w:r>
    </w:p>
    <w:p>
      <w:pPr/>
      <w:r>
        <w:t>Δ ≈ [V(S+h) − V(S−h)] / 2h        Γ ≈ [V(S+h) − 2V(S) + V(S−h)] / h²</w:t>
      </w:r>
    </w:p>
    <w:p>
      <w:pPr/>
      <w:r>
        <w:t>Vega ≈ [V(σ+h) − V(σ−h)] / 2h</w:t>
      </w:r>
    </w:p>
    <w:p>
      <w:pPr/>
      <w:r>
        <w:t>Choosing the bump size h matters more than it might seem: it must be small relative to S or σ so the estimate stays local, but large enough that the difference is not swamped by the tree’s own discretisation noise — like choosing a ruler with the right precision for what you are measuring: too coarse and you miss detail, too fine and you are just reading measurement noise. The notebook uses a 1% spot bump for Delta, but a larger 5% spot bump for Gamma — the tree’s node spacing near the reference spot is about €39, so a 1% (≈€14) bump is smaller than a single grid step, and the resulting second difference would collapse into pure floating-point noise. A 2-percentage-point volatility bump is used for Vega. A light Gaussian smoothing pass (σ = 2 points) then removes the residual sawtooth pattern caused by the tree’s discrete grid — directly implementing the Q&amp;A guidance to use "more data points, appropriate scaling, economic explanation" wherever a Greek plot would otherwise look jagged and non-smooth.</w:t>
      </w:r>
    </w:p>
    <w:p>
      <w:pPr>
        <w:pStyle w:val="Heading3"/>
      </w:pPr>
      <w:r>
        <w:t>Results at the reference point (S = 1,708, T = 1.79y, σ = 44.7% median rolling vol)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Greek</w:t>
            </w:r>
          </w:p>
        </w:tc>
        <w:tc>
          <w:tcPr>
            <w:tcW w:type="dxa" w:w="2880"/>
          </w:tcPr>
          <w:p>
            <w:r>
              <w:t>Value</w:t>
            </w:r>
          </w:p>
        </w:tc>
        <w:tc>
          <w:tcPr>
            <w:tcW w:type="dxa" w:w="2880"/>
          </w:tcPr>
          <w:p>
            <w:r>
              <w:t>Economic reading</w:t>
            </w:r>
          </w:p>
        </w:tc>
      </w:tr>
      <w:tr>
        <w:tc>
          <w:tcPr>
            <w:tcW w:type="dxa" w:w="2880"/>
          </w:tcPr>
          <w:p>
            <w:r>
              <w:t>Price</w:t>
            </w:r>
          </w:p>
        </w:tc>
        <w:tc>
          <w:tcPr>
            <w:tcW w:type="dxa" w:w="2880"/>
          </w:tcPr>
          <w:p>
            <w:r>
              <w:t>1,452.87 EUR</w:t>
            </w:r>
          </w:p>
        </w:tc>
        <w:tc>
          <w:tcPr>
            <w:tcW w:type="dxa" w:w="2880"/>
          </w:tcPr>
          <w:p>
            <w:r>
              <w:t>Model value at the reference inputs</w:t>
            </w:r>
          </w:p>
        </w:tc>
      </w:tr>
      <w:tr>
        <w:tc>
          <w:tcPr>
            <w:tcW w:type="dxa" w:w="2880"/>
          </w:tcPr>
          <w:p>
            <w:r>
              <w:t>Delta</w:t>
            </w:r>
          </w:p>
        </w:tc>
        <w:tc>
          <w:tcPr>
            <w:tcW w:type="dxa" w:w="2880"/>
          </w:tcPr>
          <w:p>
            <w:r>
              <w:t>+0.60</w:t>
            </w:r>
          </w:p>
        </w:tc>
        <w:tc>
          <w:tcPr>
            <w:tcW w:type="dxa" w:w="2880"/>
          </w:tcPr>
          <w:p>
            <w:r>
              <w:t>The certificate moves about 0.60 EUR for every 1 EUR move in the stock — behaving partway between bond-like and stock-like</w:t>
            </w:r>
          </w:p>
        </w:tc>
      </w:tr>
      <w:tr>
        <w:tc>
          <w:tcPr>
            <w:tcW w:type="dxa" w:w="2880"/>
          </w:tcPr>
          <w:p>
            <w:r>
              <w:t>Gamma</w:t>
            </w:r>
          </w:p>
        </w:tc>
        <w:tc>
          <w:tcPr>
            <w:tcW w:type="dxa" w:w="2880"/>
          </w:tcPr>
          <w:p>
            <w:r>
              <w:t>−0.00043</w:t>
            </w:r>
          </w:p>
        </w:tc>
        <w:tc>
          <w:tcPr>
            <w:tcW w:type="dxa" w:w="2880"/>
          </w:tcPr>
          <w:p>
            <w:r>
              <w:t>Negative near the cap: the embedded short call flattens Delta as the stock rises further</w:t>
            </w:r>
          </w:p>
        </w:tc>
      </w:tr>
      <w:tr>
        <w:tc>
          <w:tcPr>
            <w:tcW w:type="dxa" w:w="2880"/>
          </w:tcPr>
          <w:p>
            <w:r>
              <w:t>Vega</w:t>
            </w:r>
          </w:p>
        </w:tc>
        <w:tc>
          <w:tcPr>
            <w:tcW w:type="dxa" w:w="2880"/>
          </w:tcPr>
          <w:p>
            <w:r>
              <w:t>−14.37 per 1 percentage point of vol</w:t>
            </w:r>
          </w:p>
        </w:tc>
        <w:tc>
          <w:tcPr>
            <w:tcW w:type="dxa" w:w="2880"/>
          </w:tcPr>
          <w:p>
            <w:r>
              <w:t>NEGATIVE — the signature Greek of this product</w:t>
            </w:r>
          </w:p>
        </w:tc>
      </w:tr>
    </w:tbl>
    <w:p/>
    <w:p>
      <w:pPr/>
      <w:r>
        <w:t>Why negative Vega? Two effects reinforce each other. First, the capped forward piece is short a call at K = 2,000 — higher volatility raises that call’s value against the certificate holder. Second, higher volatility raises the probability of touching B = 1,050, destroying the expected bonus. Both effects point the same way: whoever holds this certificate wants LOW realised volatility, the opposite of what a plain long-option holder typically wants.</w:t>
      </w:r>
    </w:p>
    <w:p>
      <w:pPr/>
      <w:r>
        <w:t>Shape near the barrier: Gamma spikes sharply and Delta can even exceed 1 as the stock approaches B — the knock-out probability reacts violently to small moves in the stock there, making the certificate’s value function highly convex. Near and above the cap, all the Greeks decay toward zero: the payoff is effectively locked at €2,000, and the certificate starts to behave just like a zero-coupon bond.</w:t>
      </w:r>
    </w:p>
    <w:p>
      <w:pPr>
        <w:pStyle w:val="Heading2"/>
      </w:pPr>
      <w:r>
        <w:t>4.5 Task VII — Replicating Portfolio</w:t>
      </w:r>
    </w:p>
    <w:p>
      <w:pPr>
        <w:pStyle w:val="Heading3"/>
      </w:pPr>
      <w:r>
        <w:t>What was asked</w:t>
      </w:r>
    </w:p>
    <w:p>
      <w:pPr/>
      <w:r>
        <w:t>For each day of the observation window, work out the replicating portfolio (a number of stock shares plus a bond position); additionally plot the "equity fraction" as a function of the underlying price at one fixed date, and interpret the behaviour in a falling market.</w:t>
      </w:r>
    </w:p>
    <w:p>
      <w:pPr>
        <w:pStyle w:val="Heading3"/>
      </w:pPr>
      <w:r>
        <w:t>Theory (Session 2, slides 26–29 and 57)</w:t>
      </w:r>
    </w:p>
    <w:p>
      <w:pPr/>
      <w:r>
        <w:t>Replication means expressing the certificate as if it were nothing more than Δ units of stock plus a bond position — this is exactly what a bank’s trading desk does in practice to hedge a position it has sold: hold enough of the underlying stock (financed partly by borrowing or lending) that, for small stock moves, the combination behaves identically to the certificate itself. In the simplest one-period version of the model:</w:t>
      </w:r>
    </w:p>
    <w:p>
      <w:pPr/>
      <w:r>
        <w:t>Δ = (C_u − C_d) / (S_u − S_d),      bond (credit) = 1/(1+r)^T · (Δ·S_d − C_d)</w:t>
      </w:r>
    </w:p>
    <w:p>
      <w:pPr/>
      <w:r>
        <w:t>In continuous Black-Scholes terms, a call option is equivalent to holding N(d₁) shares of stock financed by being short N(d₂) zero-coupon bonds of face value K. For the certificate, the notebook takes Δ(t) directly from the tree (via the same finite-difference Delta computed in Task VI) and simply backs out the bond leg from the identity that the two must add up to the certificate’s total value:</w:t>
      </w:r>
    </w:p>
    <w:p>
      <w:pPr/>
      <w:r>
        <w:t>V(t) = Δ(t)·S(t) + B(t)      ⇒      B(t) = V(t) − Δ(t)·S(t)</w:t>
      </w:r>
    </w:p>
    <w:p>
      <w:pPr/>
      <w:r>
        <w:t>Equity fraction(t) = Δ(t)·S(t) / V(t)</w:t>
      </w:r>
    </w:p>
    <w:p>
      <w:pPr/>
      <w:r>
        <w:t>The equity fraction answers a simple question: what share of the certificate’s current value is effectively "just being long the stock"? It can exceed 100%: near the barrier, Δ approaches 1 while V itself is falling, so the replicating book ends up long MORE than one full share of stock, financed by a negative (short) bond position — a mild form of leverage, matching exactly the hump shape shown in the lecture’s S&amp;P 500 example.</w:t>
      </w:r>
    </w:p>
    <w:p>
      <w:pPr>
        <w:pStyle w:val="Heading3"/>
      </w:pPr>
      <w:r>
        <w:t>What the two plots show (executed results)</w:t>
      </w:r>
    </w:p>
    <w:p>
      <w:pPr>
        <w:pStyle w:val="ListBullet"/>
      </w:pPr>
      <w:r>
        <w:t>Time series (replicating_portfolio_time.png): over Sep 2025 – Jun 2026, Rheinmetall fell from ≈€1,708 down toward the barrier zone. Delta started around 0.60, initially dipped to its window low of ≈ 0.14 as the stock rallied toward the cap in autumn 2025 (making the certificate temporarily resemble its fixed bonus leg, with little directional sensitivity), and then climbed steadily as the stock declined, reaching ≈ 0.9–1.0 by May 2026 — full range [0.14, 1.07]. The equity fraction followed the same story: it started near 20–40%, fell to a low around 16%, and then rose to a peak of 112% (full range 16.4%–112%; above 50% on 143 of the 183 days).</w:t>
      </w:r>
    </w:p>
    <w:p>
      <w:pPr>
        <w:pStyle w:val="ListBullet"/>
      </w:pPr>
      <w:r>
        <w:t>Static snapshot (equity_fraction_vs_S.png): sweeping the stock price at a fixed remaining maturity (T_rem ≈ 1.79y) and the median volatility over the window, the fraction peaks sharply just above the barrier B = 1,050, declines gradually through the bonus zone, and falls toward 0 for very high stock prices (where the certificate behaves essentially like a bond paying a fixed €2,000). Below B, the certificate has already knocked out and is modelled as a capped forward instead, whose equity fraction rises steeply as the stock falls further — full downside exposure, with no floor left.</w:t>
      </w:r>
    </w:p>
    <w:p>
      <w:pPr>
        <w:pStyle w:val="Heading3"/>
      </w:pPr>
      <w:r>
        <w:t>The falling-market interpretation (the graded punchline)</w:t>
      </w:r>
    </w:p>
    <w:p>
      <w:pPr/>
      <w:r>
        <w:t>This is the single most important economic lesson of Task VII. A capital-protected note (like the Part 1 CPN) de-risks itself automatically in a crash: its Delta falls toward 0 as the stock drops, so the holder’s stock exposure shrinks exactly when things are going badly. A bonus certificate does the opposite: as the stock falls toward the barrier, Delta rises toward 1 and the holder ends up with near-total stock exposure at exactly the worst possible moment — and one single barrier touch then permanently converts the product into a capped forward with full downside exposure and no remaining floor. The replication analysis turns this hidden, worsening exposure into a quantifiable number, which is exactly why a holder needs to act well before the barrier is actually reached, not after.</w:t>
      </w:r>
    </w:p>
    <w:p>
      <w:pPr>
        <w:pStyle w:val="Heading1"/>
      </w:pPr>
      <w:r>
        <w:t>5. PART 3 — Portfolio Insurance Strategy (Tasks VIII–XI)</w:t>
      </w:r>
    </w:p>
    <w:p>
      <w:pPr>
        <w:pStyle w:val="Heading2"/>
      </w:pPr>
      <w:r>
        <w:t>5.1 Common machinery: Monte-Carlo GBM simulation</w:t>
      </w:r>
    </w:p>
    <w:p>
      <w:pPr/>
      <w:r>
        <w:t>Setup fixed by the brief: initial capital €10,000, horizon T* = 1 year, insurance instrument = put options.</w:t>
      </w:r>
    </w:p>
    <w:p>
      <w:pPr/>
      <w:r>
        <w:t>In plain English, Geometric Brownian Motion (GBM) is a way of simulating a stock price like flipping a weighted coin every trading day: each day the log-price gets nudged up or down by a small random amount, with a steady long-run upward drift and a fixed amount of daily "jumpiness" (volatility). Doing this once for 252 trading days produces one possible future for the stock over the next year. Doing it 50,000 times, independently, produces a whole cloud of possible futures — that cloud is the Monte Carlo simulation, and every statistic in Tasks VIII–XI is computed from this same cloud of outcomes.</w:t>
      </w:r>
    </w:p>
    <w:p>
      <w:pPr/>
      <w:r>
        <w:t>The exact discretisation of the log-price used (Session 3, slide 145):</w:t>
      </w:r>
    </w:p>
    <w:p>
      <w:pPr/>
      <w:r>
        <w:t>ln S(i+1)Δt = ln S(i)Δt + (μ − ½σ²)·Δt + z(i+1)·σ·√Δt,   z ~ N(0,1)</w:t>
      </w:r>
    </w:p>
    <w:p>
      <w:pPr>
        <w:pStyle w:val="ListBullet"/>
      </w:pPr>
      <w:r>
        <w:t>Physical vs. risk-neutral drift — the conceptual heart of Part 3: there are two entirely different "average speeds" floating around this notebook, and mixing them up is the single most common mistake in this whole topic. The physical (real-world) drift μ is our honest best guess at how Rheinmetall might actually grow, and it is used to simulate what could genuinely happen to the investor’s €10,000 (Tasks VIII–XI). The risk-neutral drift (r − q) is a purely mathematical accounting device used ONLY inside option-pricing formulas, so that today’s option price comes out arbitrage-free — it has nothing to do with anyone’s actual forecast. The session notes warn about exactly this: "Drift parameter → risk-neutral measure!" whenever pricing is involved.</w:t>
      </w:r>
    </w:p>
    <w:p>
      <w:pPr>
        <w:pStyle w:val="ListBullet"/>
      </w:pPr>
      <w:r>
        <w:t>Drift caveat stated in the notebook: μ = 54% reflects Rheinmetall’s exceptional 2022–26 defence re-rating and is explicitly NOT a long-run forecast — a conventional equity risk premium would be more like 6–9% over the risk-free rate. All of Part 3’s conclusions are conditional on this unusual regime continuing, and several of the findings (for example, how VaR responds to more insurance) would flip under a normal drift assumption. Stating this explicitly out loud is itself part of the "reasonable parameter choice" grading criterion.</w:t>
      </w:r>
    </w:p>
    <w:p>
      <w:pPr>
        <w:pStyle w:val="ListBullet"/>
      </w:pPr>
      <w:r>
        <w:t>One shared path set for all of Tasks VIII–XI: every task reuses exactly the same 50,000 simulated paths, so any difference between strategies is purely a strategy effect — never Monte-Carlo noise sneaking in because a different random draw was used somewhere.</w:t>
      </w:r>
    </w:p>
    <w:p>
      <w:pPr>
        <w:pStyle w:val="ListBullet"/>
      </w:pPr>
      <w:r>
        <w:t>Why there is no extra −½σ² correction in the notebook’s simulation step: the drift μ is estimated directly as the mean of LOG returns, which means it already IS the drift of ln S. Adding the usual −½σ² term on top would double-count that correction. (That −½σ² form is needed instead when μ represents an arithmetic, expected-price drift — such as the risk-neutral r used in option pricing, where E[S_T] = S₀·e^(rT) must hold exactly.)</w:t>
      </w:r>
    </w:p>
    <w:p>
      <w:pPr>
        <w:pStyle w:val="Heading2"/>
      </w:pPr>
      <w:r>
        <w:t>5.2 Task VIII — Performance Without Risk Management</w:t>
      </w:r>
    </w:p>
    <w:p>
      <w:pPr>
        <w:pStyle w:val="Heading3"/>
      </w:pPr>
      <w:r>
        <w:t>What was asked</w:t>
      </w:r>
    </w:p>
    <w:p>
      <w:pPr/>
      <w:r>
        <w:t>Simulate the 1-year payoff distribution of €10,000 invested entirely in the stock, with no hedging at all; report meaningful performance and risk measures (the session notes explicitly name performance, risk, and "descriptive measures" like skewness and kurtosis) and explain what each one means.</w:t>
      </w:r>
    </w:p>
    <w:p>
      <w:pPr>
        <w:pStyle w:val="Heading3"/>
      </w:pPr>
      <w:r>
        <w:t>The measures, explained in plain English before the numbers</w:t>
      </w:r>
    </w:p>
    <w:p>
      <w:pPr>
        <w:pStyle w:val="ListBullet"/>
      </w:pPr>
      <w:r>
        <w:t>Mean / median / standard deviation of log-returns ln(S_T/S₀) — the average outcome, the "middle" outcome, and how spread out the typical outcome is around that average.</w:t>
      </w:r>
    </w:p>
    <w:p>
      <w:pPr>
        <w:pStyle w:val="ListBullet"/>
      </w:pPr>
      <w:r>
        <w:t>Skewness — is the distribution lopsided, with a longer tail stretching out on one side? Zero for a perfectly symmetric (normal) distribution.</w:t>
      </w:r>
    </w:p>
    <w:p>
      <w:pPr>
        <w:pStyle w:val="ListBullet"/>
      </w:pPr>
      <w:r>
        <w:t>Excess kurtosis — are extreme, far-out outcomes more common ("fatter tails") than a plain bell curve would predict? Zero for a normal distribution.</w:t>
      </w:r>
    </w:p>
    <w:p>
      <w:pPr>
        <w:pStyle w:val="ListBullet"/>
      </w:pPr>
      <w:r>
        <w:t>Sharpe ratio = (mean − r)/std — the return earned per unit of total risk taken, above and beyond what you could have earned risk-free.</w:t>
      </w:r>
    </w:p>
    <w:p>
      <w:pPr>
        <w:pStyle w:val="ListBullet"/>
      </w:pPr>
      <w:r>
        <w:t>95% VaR (Value at Risk) = −(5th percentile of simulated returns) — the loss that, across this simulated cloud of futures, you should not expect to be exceeded more than 1 year out of 20.</w:t>
      </w:r>
    </w:p>
    <w:p>
      <w:pPr>
        <w:pStyle w:val="ListBullet"/>
      </w:pPr>
      <w:r>
        <w:t>95% CVaR (Conditional VaR) = −(mean of returns at or below that same 5th-percentile cutoff) — if that unlucky "1-in-20" year does actually happen, how bad is the outcome on average? CVaR is always at least as large as VaR, and it is more informative about just how ugly the tail really is.</w:t>
      </w:r>
    </w:p>
    <w:p>
      <w:pPr>
        <w:pStyle w:val="ListBullet"/>
      </w:pPr>
      <w:r>
        <w:t>P(loss) — simply the share of the 50,000 simulated futures that end up worse off than the starting €10,000.</w:t>
      </w:r>
    </w:p>
    <w:p>
      <w:pPr>
        <w:pStyle w:val="Heading3"/>
      </w:pPr>
      <w:r>
        <w:t>Executed results — the unhedged baseline</w:t>
      </w:r>
    </w:p>
    <w:tbl>
      <w:tblPr>
        <w:tblStyle w:val="LightGrid-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Mean / median return</w:t>
            </w:r>
          </w:p>
        </w:tc>
        <w:tc>
          <w:tcPr>
            <w:tcW w:type="dxa" w:w="4320"/>
          </w:tcPr>
          <w:p>
            <w:r>
              <w:t>54.03% / 54.18%</w:t>
            </w:r>
          </w:p>
        </w:tc>
      </w:tr>
      <w:tr>
        <w:tc>
          <w:tcPr>
            <w:tcW w:type="dxa" w:w="4320"/>
          </w:tcPr>
          <w:p>
            <w:r>
              <w:t>Std deviation</w:t>
            </w:r>
          </w:p>
        </w:tc>
        <w:tc>
          <w:tcPr>
            <w:tcW w:type="dxa" w:w="4320"/>
          </w:tcPr>
          <w:p>
            <w:r>
              <w:t>45.61%</w:t>
            </w:r>
          </w:p>
        </w:tc>
      </w:tr>
      <w:tr>
        <w:tc>
          <w:tcPr>
            <w:tcW w:type="dxa" w:w="4320"/>
          </w:tcPr>
          <w:p>
            <w:r>
              <w:t>Skewness / excess kurtosis</w:t>
            </w:r>
          </w:p>
        </w:tc>
        <w:tc>
          <w:tcPr>
            <w:tcW w:type="dxa" w:w="4320"/>
          </w:tcPr>
          <w:p>
            <w:r>
              <w:t>0.007 / 0.048  (log-returns ≈ normal, by construction of GBM)</w:t>
            </w:r>
          </w:p>
        </w:tc>
      </w:tr>
      <w:tr>
        <w:tc>
          <w:tcPr>
            <w:tcW w:type="dxa" w:w="4320"/>
          </w:tcPr>
          <w:p>
            <w:r>
              <w:t>Sharpe ratio</w:t>
            </w:r>
          </w:p>
        </w:tc>
        <w:tc>
          <w:tcPr>
            <w:tcW w:type="dxa" w:w="4320"/>
          </w:tcPr>
          <w:p>
            <w:r>
              <w:t>1.117</w:t>
            </w:r>
          </w:p>
        </w:tc>
      </w:tr>
      <w:tr>
        <w:tc>
          <w:tcPr>
            <w:tcW w:type="dxa" w:w="4320"/>
          </w:tcPr>
          <w:p>
            <w:r>
              <w:t>95% VaR / 95% CVaR</w:t>
            </w:r>
          </w:p>
        </w:tc>
        <w:tc>
          <w:tcPr>
            <w:tcW w:type="dxa" w:w="4320"/>
          </w:tcPr>
          <w:p>
            <w:r>
              <w:t>20.64% / 40.14%</w:t>
            </w:r>
          </w:p>
        </w:tc>
      </w:tr>
      <w:tr>
        <w:tc>
          <w:tcPr>
            <w:tcW w:type="dxa" w:w="4320"/>
          </w:tcPr>
          <w:p>
            <w:r>
              <w:t>P(loss)</w:t>
            </w:r>
          </w:p>
        </w:tc>
        <w:tc>
          <w:tcPr>
            <w:tcW w:type="dxa" w:w="4320"/>
          </w:tcPr>
          <w:p>
            <w:r>
              <w:t>11.7%</w:t>
            </w:r>
          </w:p>
        </w:tc>
      </w:tr>
    </w:tbl>
    <w:p/>
    <w:p>
      <w:pPr/>
      <w:r>
        <w:t>Reading this in plain terms: the enormous historical drift makes the average outcome look spectacular, but the tail is genuinely fat in euro terms — one year in twenty loses more than a fifth of the capital, and conditional on actually landing in that bad tail, the average loss balloons to 40%. This unhedged VaR of 20.6%, sitting well above the eventual 15% ceiling, is exactly what forces a real hedging decision in Tasks IX–XI. Log-returns under GBM are, by construction, close to normally distributed, so skewness and kurtosis are near zero here — they only become interesting once the put overlay deliberately reshapes the distribution in later tasks.</w:t>
      </w:r>
    </w:p>
    <w:p>
      <w:pPr>
        <w:pStyle w:val="Heading2"/>
      </w:pPr>
      <w:r>
        <w:t>5.3 Task IX — Portfolio Insurance with Put Options</w:t>
      </w:r>
    </w:p>
    <w:p>
      <w:pPr>
        <w:pStyle w:val="Heading3"/>
      </w:pPr>
      <w:r>
        <w:t>What was asked</w:t>
      </w:r>
    </w:p>
    <w:p>
      <w:pPr/>
      <w:r>
        <w:t>Add put options to hedge the downside, and analyse how (i) the fraction α of initial wealth spent on puts and (ii) the put strike K affect performance and risk. The puts are fictitious and must be priced at the historical volatility of the underlying (Session 3, Task 9/10 slide).</w:t>
      </w:r>
    </w:p>
    <w:p>
      <w:pPr>
        <w:pStyle w:val="Heading3"/>
      </w:pPr>
      <w:r>
        <w:t>Mechanics of insured_return, in plain English</w:t>
      </w:r>
    </w:p>
    <w:p>
      <w:pPr/>
      <w:r>
        <w:t>Buying a put option here is like buying flood insurance for the portfolio: you pay a premium up front (a fraction α of the €10,000), and if the stock ends up below the strike K, the put pays out the shortfall, cushioning the loss. The rest of the money, (1−α), simply buys the stock directly, as in Task VIII.</w:t>
      </w:r>
    </w:p>
    <w:p>
      <w:pPr>
        <w:pStyle w:val="ListBullet"/>
      </w:pPr>
      <w:r>
        <w:t>Put premium P₀ = Black-Scholes put(S₀, K, r, q, σ_hist = 45.57%, T = 1) — the puts are priced using the 252-day trailing historical volatility described in Section 2.2, exactly as specified in the brief.</w:t>
      </w:r>
    </w:p>
    <w:p>
      <w:pPr>
        <w:pStyle w:val="ListBullet"/>
      </w:pPr>
      <w:r>
        <w:t>n_puts = α·W₀ / P₀ contracts are bought; n_shares = (1−α)·W₀ / S₀ shares of stock are bought with the rest.</w:t>
      </w:r>
    </w:p>
    <w:p>
      <w:pPr>
        <w:pStyle w:val="ListBullet"/>
      </w:pPr>
      <w:r>
        <w:t>Terminal wealth W_T = n_puts·max(K − S_T, 0) + n_shares·S_T is evaluated across all 50,000 simulated paths; returns are then ln(W_T/W₀), the same convention as Task VIII.</w:t>
      </w:r>
    </w:p>
    <w:p>
      <w:pPr>
        <w:pStyle w:val="ListBullet"/>
      </w:pPr>
      <w:r>
        <w:t>Grid tested: α ∈ {5, 10, 15, 20%} × K ∈ {90, 95, 100, 105% of S₀} — 16 combinations in total, spanning the retail-realistic range (this grid choice is anchored to the classic portfolio-insurance literature, Rubinstein &amp; Leland 1981 and Leland 1985).</w:t>
      </w:r>
    </w:p>
    <w:p>
      <w:pPr>
        <w:pStyle w:val="Heading3"/>
      </w:pPr>
      <w:r>
        <w:t>Executed results (representative rows of the full 4×4 grid)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α</w:t>
            </w:r>
          </w:p>
        </w:tc>
        <w:tc>
          <w:tcPr>
            <w:tcW w:type="dxa" w:w="1080"/>
          </w:tcPr>
          <w:p>
            <w:r>
              <w:t>K</w:t>
            </w:r>
          </w:p>
        </w:tc>
        <w:tc>
          <w:tcPr>
            <w:tcW w:type="dxa" w:w="1080"/>
          </w:tcPr>
          <w:p>
            <w:r>
              <w:t>Mean</w:t>
            </w:r>
          </w:p>
        </w:tc>
        <w:tc>
          <w:tcPr>
            <w:tcW w:type="dxa" w:w="1080"/>
          </w:tcPr>
          <w:p>
            <w:r>
              <w:t>Std</w:t>
            </w:r>
          </w:p>
        </w:tc>
        <w:tc>
          <w:tcPr>
            <w:tcW w:type="dxa" w:w="1080"/>
          </w:tcPr>
          <w:p>
            <w:r>
              <w:t>Sharpe</w:t>
            </w:r>
          </w:p>
        </w:tc>
        <w:tc>
          <w:tcPr>
            <w:tcW w:type="dxa" w:w="1080"/>
          </w:tcPr>
          <w:p>
            <w:r>
              <w:t>95% VaR</w:t>
            </w:r>
          </w:p>
        </w:tc>
        <w:tc>
          <w:tcPr>
            <w:tcW w:type="dxa" w:w="1080"/>
          </w:tcPr>
          <w:p>
            <w:r>
              <w:t>95% CVaR</w:t>
            </w:r>
          </w:p>
        </w:tc>
        <w:tc>
          <w:tcPr>
            <w:tcW w:type="dxa" w:w="1080"/>
          </w:tcPr>
          <w:p>
            <w:r>
              <w:t>P(loss)</w:t>
            </w:r>
          </w:p>
        </w:tc>
      </w:tr>
      <w:tr>
        <w:tc>
          <w:tcPr>
            <w:tcW w:type="dxa" w:w="1080"/>
          </w:tcPr>
          <w:p>
            <w:r>
              <w:t>0% (unhedged)</w:t>
            </w:r>
          </w:p>
        </w:tc>
        <w:tc>
          <w:tcPr>
            <w:tcW w:type="dxa" w:w="1080"/>
          </w:tcPr>
          <w:p>
            <w:r>
              <w:t>—</w:t>
            </w:r>
          </w:p>
        </w:tc>
        <w:tc>
          <w:tcPr>
            <w:tcW w:type="dxa" w:w="1080"/>
          </w:tcPr>
          <w:p>
            <w:r>
              <w:t>54.0%</w:t>
            </w:r>
          </w:p>
        </w:tc>
        <w:tc>
          <w:tcPr>
            <w:tcW w:type="dxa" w:w="1080"/>
          </w:tcPr>
          <w:p>
            <w:r>
              <w:t>45.6%</w:t>
            </w:r>
          </w:p>
        </w:tc>
        <w:tc>
          <w:tcPr>
            <w:tcW w:type="dxa" w:w="1080"/>
          </w:tcPr>
          <w:p>
            <w:r>
              <w:t>1.117</w:t>
            </w:r>
          </w:p>
        </w:tc>
        <w:tc>
          <w:tcPr>
            <w:tcW w:type="dxa" w:w="1080"/>
          </w:tcPr>
          <w:p>
            <w:r>
              <w:t>20.6%</w:t>
            </w:r>
          </w:p>
        </w:tc>
        <w:tc>
          <w:tcPr>
            <w:tcW w:type="dxa" w:w="1080"/>
          </w:tcPr>
          <w:p>
            <w:r>
              <w:t>40.1%</w:t>
            </w:r>
          </w:p>
        </w:tc>
        <w:tc>
          <w:tcPr>
            <w:tcW w:type="dxa" w:w="1080"/>
          </w:tcPr>
          <w:p>
            <w:r>
              <w:t>11.7%</w:t>
            </w:r>
          </w:p>
        </w:tc>
      </w:tr>
      <w:tr>
        <w:tc>
          <w:tcPr>
            <w:tcW w:type="dxa" w:w="1080"/>
          </w:tcPr>
          <w:p>
            <w:r>
              <w:t>5%</w:t>
            </w:r>
          </w:p>
        </w:tc>
        <w:tc>
          <w:tcPr>
            <w:tcW w:type="dxa" w:w="1080"/>
          </w:tcPr>
          <w:p>
            <w:r>
              <w:t>105%</w:t>
            </w:r>
          </w:p>
        </w:tc>
        <w:tc>
          <w:tcPr>
            <w:tcW w:type="dxa" w:w="1080"/>
          </w:tcPr>
          <w:p>
            <w:r>
              <w:t>49.9%</w:t>
            </w:r>
          </w:p>
        </w:tc>
        <w:tc>
          <w:tcPr>
            <w:tcW w:type="dxa" w:w="1080"/>
          </w:tcPr>
          <w:p>
            <w:r>
              <w:t>43.7%</w:t>
            </w:r>
          </w:p>
        </w:tc>
        <w:tc>
          <w:tcPr>
            <w:tcW w:type="dxa" w:w="1080"/>
          </w:tcPr>
          <w:p>
            <w:r>
              <w:t>1.073</w:t>
            </w:r>
          </w:p>
        </w:tc>
        <w:tc>
          <w:tcPr>
            <w:tcW w:type="dxa" w:w="1080"/>
          </w:tcPr>
          <w:p>
            <w:r>
              <w:t>18.2%</w:t>
            </w:r>
          </w:p>
        </w:tc>
        <w:tc>
          <w:tcPr>
            <w:tcW w:type="dxa" w:w="1080"/>
          </w:tcPr>
          <w:p>
            <w:r>
              <w:t>30.7%</w:t>
            </w:r>
          </w:p>
        </w:tc>
        <w:tc>
          <w:tcPr>
            <w:tcW w:type="dxa" w:w="1080"/>
          </w:tcPr>
          <w:p>
            <w:r>
              <w:t>14.1%</w:t>
            </w:r>
          </w:p>
        </w:tc>
      </w:tr>
      <w:tr>
        <w:tc>
          <w:tcPr>
            <w:tcW w:type="dxa" w:w="1080"/>
          </w:tcPr>
          <w:p>
            <w:r>
              <w:t>10%</w:t>
            </w:r>
          </w:p>
        </w:tc>
        <w:tc>
          <w:tcPr>
            <w:tcW w:type="dxa" w:w="1080"/>
          </w:tcPr>
          <w:p>
            <w:r>
              <w:t>95%</w:t>
            </w:r>
          </w:p>
        </w:tc>
        <w:tc>
          <w:tcPr>
            <w:tcW w:type="dxa" w:w="1080"/>
          </w:tcPr>
          <w:p>
            <w:r>
              <w:t>45.2%</w:t>
            </w:r>
          </w:p>
        </w:tc>
        <w:tc>
          <w:tcPr>
            <w:tcW w:type="dxa" w:w="1080"/>
          </w:tcPr>
          <w:p>
            <w:r>
              <w:t>42.4%</w:t>
            </w:r>
          </w:p>
        </w:tc>
        <w:tc>
          <w:tcPr>
            <w:tcW w:type="dxa" w:w="1080"/>
          </w:tcPr>
          <w:p>
            <w:r>
              <w:t>0.994</w:t>
            </w:r>
          </w:p>
        </w:tc>
        <w:tc>
          <w:tcPr>
            <w:tcW w:type="dxa" w:w="1080"/>
          </w:tcPr>
          <w:p>
            <w:r>
              <w:t>18.7%</w:t>
            </w:r>
          </w:p>
        </w:tc>
        <w:tc>
          <w:tcPr>
            <w:tcW w:type="dxa" w:w="1080"/>
          </w:tcPr>
          <w:p>
            <w:r>
              <w:t>21.7%</w:t>
            </w:r>
          </w:p>
        </w:tc>
        <w:tc>
          <w:tcPr>
            <w:tcW w:type="dxa" w:w="1080"/>
          </w:tcPr>
          <w:p>
            <w:r>
              <w:t>17.0%</w:t>
            </w:r>
          </w:p>
        </w:tc>
      </w:tr>
      <w:tr>
        <w:tc>
          <w:tcPr>
            <w:tcW w:type="dxa" w:w="1080"/>
          </w:tcPr>
          <w:p>
            <w:r>
              <w:t>15%</w:t>
            </w:r>
          </w:p>
        </w:tc>
        <w:tc>
          <w:tcPr>
            <w:tcW w:type="dxa" w:w="1080"/>
          </w:tcPr>
          <w:p>
            <w:r>
              <w:t>105%</w:t>
            </w:r>
          </w:p>
        </w:tc>
        <w:tc>
          <w:tcPr>
            <w:tcW w:type="dxa" w:w="1080"/>
          </w:tcPr>
          <w:p>
            <w:r>
              <w:t>40.8%</w:t>
            </w:r>
          </w:p>
        </w:tc>
        <w:tc>
          <w:tcPr>
            <w:tcW w:type="dxa" w:w="1080"/>
          </w:tcPr>
          <w:p>
            <w:r>
              <w:t>40.6%</w:t>
            </w:r>
          </w:p>
        </w:tc>
        <w:tc>
          <w:tcPr>
            <w:tcW w:type="dxa" w:w="1080"/>
          </w:tcPr>
          <w:p>
            <w:r>
              <w:t>0.929</w:t>
            </w:r>
          </w:p>
        </w:tc>
        <w:tc>
          <w:tcPr>
            <w:tcW w:type="dxa" w:w="1080"/>
          </w:tcPr>
          <w:p>
            <w:r>
              <w:t>13.6%</w:t>
            </w:r>
          </w:p>
        </w:tc>
        <w:tc>
          <w:tcPr>
            <w:tcW w:type="dxa" w:w="1080"/>
          </w:tcPr>
          <w:p>
            <w:r>
              <w:t>14.8%</w:t>
            </w:r>
          </w:p>
        </w:tc>
        <w:tc>
          <w:tcPr>
            <w:tcW w:type="dxa" w:w="1080"/>
          </w:tcPr>
          <w:p>
            <w:r>
              <w:t>20.4%</w:t>
            </w:r>
          </w:p>
        </w:tc>
      </w:tr>
      <w:tr>
        <w:tc>
          <w:tcPr>
            <w:tcW w:type="dxa" w:w="1080"/>
          </w:tcPr>
          <w:p>
            <w:r>
              <w:t>20%</w:t>
            </w:r>
          </w:p>
        </w:tc>
        <w:tc>
          <w:tcPr>
            <w:tcW w:type="dxa" w:w="1080"/>
          </w:tcPr>
          <w:p>
            <w:r>
              <w:t>105%</w:t>
            </w:r>
          </w:p>
        </w:tc>
        <w:tc>
          <w:tcPr>
            <w:tcW w:type="dxa" w:w="1080"/>
          </w:tcPr>
          <w:p>
            <w:r>
              <w:t>35.7%</w:t>
            </w:r>
          </w:p>
        </w:tc>
        <w:tc>
          <w:tcPr>
            <w:tcW w:type="dxa" w:w="1080"/>
          </w:tcPr>
          <w:p>
            <w:r>
              <w:t>39.3%</w:t>
            </w:r>
          </w:p>
        </w:tc>
        <w:tc>
          <w:tcPr>
            <w:tcW w:type="dxa" w:w="1080"/>
          </w:tcPr>
          <w:p>
            <w:r>
              <w:t>0.829</w:t>
            </w:r>
          </w:p>
        </w:tc>
        <w:tc>
          <w:tcPr>
            <w:tcW w:type="dxa" w:w="1080"/>
          </w:tcPr>
          <w:p>
            <w:r>
              <w:t>15.1%</w:t>
            </w:r>
          </w:p>
        </w:tc>
        <w:tc>
          <w:tcPr>
            <w:tcW w:type="dxa" w:w="1080"/>
          </w:tcPr>
          <w:p>
            <w:r>
              <w:t>16.3%</w:t>
            </w:r>
          </w:p>
        </w:tc>
        <w:tc>
          <w:tcPr>
            <w:tcW w:type="dxa" w:w="1080"/>
          </w:tcPr>
          <w:p>
            <w:r>
              <w:t>24.4%</w:t>
            </w:r>
          </w:p>
        </w:tc>
      </w:tr>
    </w:tbl>
    <w:p/>
    <w:p>
      <w:pPr>
        <w:pStyle w:val="Heading3"/>
      </w:pPr>
      <w:r>
        <w:t>The three patterns to understand (and be able to defend out loud)</w:t>
      </w:r>
    </w:p>
    <w:p>
      <w:pPr>
        <w:pStyle w:val="ListBullet"/>
      </w:pPr>
      <w:r>
        <w:t>VaR is U-shaped in α: buying a put is like insurance — a moderate amount reduces your worst-case loss because the puts pay off in exactly the down-states that define VaR, with the minimum sitting around α ≈ 10–15%. But beyond that point, the certain cost of the premium starts to outweigh the uncertain benefit of the payout, and VaR actually starts rising again (see the α = 20% row). The optimum sits strictly in the interior — neither "no insurance" nor "maximum insurance" is best.</w:t>
      </w:r>
    </w:p>
    <w:p>
      <w:pPr>
        <w:pStyle w:val="ListBullet"/>
      </w:pPr>
      <w:r>
        <w:t>Higher strikes cut VaR more per euro spent: a 105% (slightly in-the-money) put is the only one in this grid that pays meaningfully at the 5th-percentile outcome of this high-drift distribution; a 90% out-of-the-money put barely moves the tail at all, since it rarely gets triggered. The single lowest-VaR cell in the whole grid is (α = 15%, K = 105%), at 13.6%.</w:t>
      </w:r>
    </w:p>
    <w:p>
      <w:pPr>
        <w:pStyle w:val="ListBullet"/>
      </w:pPr>
      <w:r>
        <w:t>Mean return falls steadily as α rises — this is simply premium drag, the unavoidable cost of insurance — while CVaR and skewness both improve. In other words, the overlay buys a genuine change in the SHAPE of the outcome distribution (a truncated left tail, a more positive skew), and you pay for that shape change with expected return. This is exactly the textbook result: more put insurance means lower mean and lower volatility, higher (more positive) skew, and sharply lower VaR/CVaR.</w:t>
      </w:r>
    </w:p>
    <w:p>
      <w:pPr>
        <w:pStyle w:val="Heading2"/>
      </w:pPr>
      <w:r>
        <w:t>5.4 Task X — Stress Scenario Analysis</w:t>
      </w:r>
    </w:p>
    <w:p>
      <w:pPr>
        <w:pStyle w:val="Heading3"/>
      </w:pPr>
      <w:r>
        <w:t>What was asked</w:t>
      </w:r>
    </w:p>
    <w:p>
      <w:pPr/>
      <w:r>
        <w:t>For one specific Task IX allocation, ask two different "what if" questions: (i) what if the puts had been priced at historical volatility ± 5 percentage points instead of the actual estimate, and/or (ii) what if the underlying suddenly dropped 20% halfway through the year? Recompute all the risk measures and discuss what changes. The session notes stress that the ±5pp applies specifically to the pricing volatility of the puts, since the puts are priced off the historical volatility of the underlying.</w:t>
      </w:r>
    </w:p>
    <w:p>
      <w:pPr>
        <w:pStyle w:val="Heading3"/>
      </w:pPr>
      <w:r>
        <w:t>Design</w:t>
      </w:r>
    </w:p>
    <w:p>
      <w:pPr>
        <w:pStyle w:val="ListBullet"/>
      </w:pPr>
      <w:r>
        <w:t>Chosen allocation: α = 10%, K = 95%·S₀ — a realistic, middle-of-the-grid retail choice from Task IX.</w:t>
      </w:r>
    </w:p>
    <w:p>
      <w:pPr>
        <w:pStyle w:val="ListBullet"/>
      </w:pPr>
      <w:r>
        <w:t>Volatility scenarios: σ_pricing = 45.57% ± 5pp — a magnitude consistent with the FRTB/Basel vega-stress convention used in bank risk management; this changes both the premium paid for the puts and, in the same run, the simulated dispersion of outcomes.</w:t>
      </w:r>
    </w:p>
    <w:p>
      <w:pPr>
        <w:pStyle w:val="ListBullet"/>
      </w:pPr>
      <w:r>
        <w:t>Crash scenario: every simulated path is multiplied by 0.80 starting at step 126 (T/2, the midpoint of the year) onward — a permanent, sudden −20% level shock, in the spirit of the PRIIPs adverse-scenario methodology.</w:t>
      </w:r>
    </w:p>
    <w:p>
      <w:pPr>
        <w:pStyle w:val="ListBullet"/>
      </w:pPr>
      <w:r>
        <w:t>Combined scenario: the crash AND the vol +5pp shock applied together — the jointly adverse "and" case implied by the task’s "and/or" wording.</w:t>
      </w:r>
    </w:p>
    <w:p>
      <w:pPr>
        <w:pStyle w:val="Heading3"/>
      </w:pPr>
      <w:r>
        <w:t>Executed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Mean</w:t>
            </w:r>
          </w:p>
        </w:tc>
        <w:tc>
          <w:tcPr>
            <w:tcW w:type="dxa" w:w="1728"/>
          </w:tcPr>
          <w:p>
            <w:r>
              <w:t>95% VaR</w:t>
            </w:r>
          </w:p>
        </w:tc>
        <w:tc>
          <w:tcPr>
            <w:tcW w:type="dxa" w:w="1728"/>
          </w:tcPr>
          <w:p>
            <w:r>
              <w:t>95% CVaR</w:t>
            </w:r>
          </w:p>
        </w:tc>
        <w:tc>
          <w:tcPr>
            <w:tcW w:type="dxa" w:w="1728"/>
          </w:tcPr>
          <w:p>
            <w:r>
              <w:t>P(loss)</w:t>
            </w:r>
          </w:p>
        </w:tc>
      </w:tr>
      <w:tr>
        <w:tc>
          <w:tcPr>
            <w:tcW w:type="dxa" w:w="1728"/>
          </w:tcPr>
          <w:p>
            <w:r>
              <w:t>Baseline</w:t>
            </w:r>
          </w:p>
        </w:tc>
        <w:tc>
          <w:tcPr>
            <w:tcW w:type="dxa" w:w="1728"/>
          </w:tcPr>
          <w:p>
            <w:r>
              <w:t>45.21%</w:t>
            </w:r>
          </w:p>
        </w:tc>
        <w:tc>
          <w:tcPr>
            <w:tcW w:type="dxa" w:w="1728"/>
          </w:tcPr>
          <w:p>
            <w:r>
              <w:t>18.66%</w:t>
            </w:r>
          </w:p>
        </w:tc>
        <w:tc>
          <w:tcPr>
            <w:tcW w:type="dxa" w:w="1728"/>
          </w:tcPr>
          <w:p>
            <w:r>
              <w:t>21.73%</w:t>
            </w:r>
          </w:p>
        </w:tc>
        <w:tc>
          <w:tcPr>
            <w:tcW w:type="dxa" w:w="1728"/>
          </w:tcPr>
          <w:p>
            <w:r>
              <w:t>17.0%</w:t>
            </w:r>
          </w:p>
        </w:tc>
      </w:tr>
      <w:tr>
        <w:tc>
          <w:tcPr>
            <w:tcW w:type="dxa" w:w="1728"/>
          </w:tcPr>
          <w:p>
            <w:r>
              <w:t>Pricing vol +5pp</w:t>
            </w:r>
          </w:p>
        </w:tc>
        <w:tc>
          <w:tcPr>
            <w:tcW w:type="dxa" w:w="1728"/>
          </w:tcPr>
          <w:p>
            <w:r>
              <w:t>45.03%</w:t>
            </w:r>
          </w:p>
        </w:tc>
        <w:tc>
          <w:tcPr>
            <w:tcW w:type="dxa" w:w="1728"/>
          </w:tcPr>
          <w:p>
            <w:r>
              <w:t>20.03%</w:t>
            </w:r>
          </w:p>
        </w:tc>
        <w:tc>
          <w:tcPr>
            <w:tcW w:type="dxa" w:w="1728"/>
          </w:tcPr>
          <w:p>
            <w:r>
              <w:t>24.60%</w:t>
            </w:r>
          </w:p>
        </w:tc>
        <w:tc>
          <w:tcPr>
            <w:tcW w:type="dxa" w:w="1728"/>
          </w:tcPr>
          <w:p>
            <w:r>
              <w:t>17.0%</w:t>
            </w:r>
          </w:p>
        </w:tc>
      </w:tr>
      <w:tr>
        <w:tc>
          <w:tcPr>
            <w:tcW w:type="dxa" w:w="1728"/>
          </w:tcPr>
          <w:p>
            <w:r>
              <w:t>Pricing vol −5pp</w:t>
            </w:r>
          </w:p>
        </w:tc>
        <w:tc>
          <w:tcPr>
            <w:tcW w:type="dxa" w:w="1728"/>
          </w:tcPr>
          <w:p>
            <w:r>
              <w:t>45.42%</w:t>
            </w:r>
          </w:p>
        </w:tc>
        <w:tc>
          <w:tcPr>
            <w:tcW w:type="dxa" w:w="1728"/>
          </w:tcPr>
          <w:p>
            <w:r>
              <w:t>16.90%</w:t>
            </w:r>
          </w:p>
        </w:tc>
        <w:tc>
          <w:tcPr>
            <w:tcW w:type="dxa" w:w="1728"/>
          </w:tcPr>
          <w:p>
            <w:r>
              <w:t>18.13%</w:t>
            </w:r>
          </w:p>
        </w:tc>
        <w:tc>
          <w:tcPr>
            <w:tcW w:type="dxa" w:w="1728"/>
          </w:tcPr>
          <w:p>
            <w:r>
              <w:t>17.0%</w:t>
            </w:r>
          </w:p>
        </w:tc>
      </w:tr>
      <w:tr>
        <w:tc>
          <w:tcPr>
            <w:tcW w:type="dxa" w:w="1728"/>
          </w:tcPr>
          <w:p>
            <w:r>
              <w:t>−20% shock at T/2</w:t>
            </w:r>
          </w:p>
        </w:tc>
        <w:tc>
          <w:tcPr>
            <w:tcW w:type="dxa" w:w="1728"/>
          </w:tcPr>
          <w:p>
            <w:r>
              <w:t>25.63%</w:t>
            </w:r>
          </w:p>
        </w:tc>
        <w:tc>
          <w:tcPr>
            <w:tcW w:type="dxa" w:w="1728"/>
          </w:tcPr>
          <w:p>
            <w:r>
              <w:t>22.35%</w:t>
            </w:r>
          </w:p>
        </w:tc>
        <w:tc>
          <w:tcPr>
            <w:tcW w:type="dxa" w:w="1728"/>
          </w:tcPr>
          <w:p>
            <w:r>
              <w:t>24.89%</w:t>
            </w:r>
          </w:p>
        </w:tc>
        <w:tc>
          <w:tcPr>
            <w:tcW w:type="dxa" w:w="1728"/>
          </w:tcPr>
          <w:p>
            <w:r>
              <w:t>32.2%</w:t>
            </w:r>
          </w:p>
        </w:tc>
      </w:tr>
      <w:tr>
        <w:tc>
          <w:tcPr>
            <w:tcW w:type="dxa" w:w="1728"/>
          </w:tcPr>
          <w:p>
            <w:r>
              <w:t>Shock AND vol +5pp</w:t>
            </w:r>
          </w:p>
        </w:tc>
        <w:tc>
          <w:tcPr>
            <w:tcW w:type="dxa" w:w="1728"/>
          </w:tcPr>
          <w:p>
            <w:r>
              <w:t>25.19%</w:t>
            </w:r>
          </w:p>
        </w:tc>
        <w:tc>
          <w:tcPr>
            <w:tcW w:type="dxa" w:w="1728"/>
          </w:tcPr>
          <w:p>
            <w:r>
              <w:t>25.50%</w:t>
            </w:r>
          </w:p>
        </w:tc>
        <w:tc>
          <w:tcPr>
            <w:tcW w:type="dxa" w:w="1728"/>
          </w:tcPr>
          <w:p>
            <w:r>
              <w:t>29.33%</w:t>
            </w:r>
          </w:p>
        </w:tc>
        <w:tc>
          <w:tcPr>
            <w:tcW w:type="dxa" w:w="1728"/>
          </w:tcPr>
          <w:p>
            <w:r>
              <w:t>32.2%</w:t>
            </w:r>
          </w:p>
        </w:tc>
      </w:tr>
    </w:tbl>
    <w:p/>
    <w:p>
      <w:pPr/>
      <w:r>
        <w:t>In plain terms, these two families of stress hit two completely different channels. Getting the pricing volatility wrong works through the premium and tail-width channel: at a fixed 10% budget, pricier puts (from vol +5pp) simply buy fewer contracts, so the tail is under-protected and VaR rises to 20.03%; cheaper puts (vol −5pp) buy more protection, and VaR falls to 16.90%. The mean return barely moves either way, since the simulated paths themselves are unchanged. The crash scenario instead works through realised returns directly: mean return collapses by about 20 percentage points and the probability of a loss nearly doubles, to 32.2%, against which a 95%-strike put holding only 10% of the wealth offers, at best, partial protection. The combined case is unambiguously the worst of all five (VaR 25.50%) — this is the scenario a risk manager would actually want to size the portfolio against. It is also worth noting that this baseline allocation’s VaR of 18.66% already exceeds the coming 15% limit, meaning it is NOT Task XI-compliant on its own — which is exactly what motivates the wider search carried out in the final task.</w:t>
      </w:r>
    </w:p>
    <w:p>
      <w:pPr>
        <w:pStyle w:val="Heading2"/>
      </w:pPr>
      <w:r>
        <w:t>5.5 Task XI — Capital Requirement (VaR-Constrained Allocation)</w:t>
      </w:r>
    </w:p>
    <w:p>
      <w:pPr>
        <w:pStyle w:val="Heading3"/>
      </w:pPr>
      <w:r>
        <w:t>What was asked</w:t>
      </w:r>
    </w:p>
    <w:p>
      <w:pPr/>
      <w:r>
        <w:t>Now impose a binding regulatory-style constraint: the 95% one-year VaR may not exceed 15%. Describe the (optimal) allocation that fully uses up this constraint, without breaching it. Session-note clarifications: the requirement must genuinely bind (not sit comfortably below the limit); there are multiple valid ways to construct a compliant portfolio; the full €10,000 need not all be invested; and a fixed random seed must be used for reproducibility.</w:t>
      </w:r>
    </w:p>
    <w:p>
      <w:pPr>
        <w:pStyle w:val="Heading3"/>
      </w:pPr>
      <w:r>
        <w:t>Methodology, in plain English</w:t>
      </w:r>
    </w:p>
    <w:p>
      <w:pPr/>
      <w:r>
        <w:t>At the 45.57% recent-regime volatility used throughout Part 3, the unhedged VaR is already 20.64% — above the 15% ceiling before any hedging at all. This is an important contrast: in a calmer, low-volatility world, you would instead be scaling a perfectly compliant stock position UP toward the limit, since there would be room to spare. Here, the investor must genuinely hedge to get compliant at all, so both Task IX levers — the put allocation α and the strike K — are put to work simultaneously.</w:t>
      </w:r>
    </w:p>
    <w:p>
      <w:pPr>
        <w:pStyle w:val="ListBullet"/>
      </w:pPr>
      <w:r>
        <w:t>For each strike K in {90, 95, 100, 105%}, the notebook sweeps a fine grid of α (0–50%, in steps of 0.1%) and evaluates VaR(α) at every point; the smallest α that reaches the target is recorded, and among all compliant (α, K) pairs, the one with the highest expected return is chosen. (Before treating this as a clean root-finding problem, the notebook first checks that VaR moves monotonically in α over the relevant range — the precondition needed for this kind of search to be well-behaved, in the spirit of the brentq/root-finder approach suggested in the instructions.)</w:t>
      </w:r>
    </w:p>
    <w:p>
      <w:pPr>
        <w:pStyle w:val="ListBullet"/>
      </w:pPr>
      <w:r>
        <w:t>Prudential buffer, explained by analogy: the VaR estimate here comes from only 50,000 simulated paths, not infinitely many, so it carries roughly 0.1 percentage point of sampling noise if you were to re-simulate. Landing your VaR exactly on 15.00% is like driving with your wheels exactly on the edge of your lane — the slightest gust of wind (a different random seed) puts you over the line: an allocation sitting precisely on 15% actually breaches the limit in about 45% of re-seeded runs. The notebook therefore targets 15% − 0.5pp = 14.5% instead, while still reporting the knife-edge point for transparency. "Fully utilising the constraint" is thus implemented as: getting as close to the ceiling as robust compliance responsibly allows, not touching the ceiling itself.</w:t>
      </w:r>
    </w:p>
    <w:p>
      <w:pPr>
        <w:pStyle w:val="Heading3"/>
      </w:pPr>
      <w:r>
        <w:t>Executed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Strike K</w:t>
            </w:r>
          </w:p>
        </w:tc>
        <w:tc>
          <w:tcPr>
            <w:tcW w:type="dxa" w:w="1728"/>
          </w:tcPr>
          <w:p>
            <w:r>
              <w:t>α reaching 15% (edge)</w:t>
            </w:r>
          </w:p>
        </w:tc>
        <w:tc>
          <w:tcPr>
            <w:tcW w:type="dxa" w:w="1728"/>
          </w:tcPr>
          <w:p>
            <w:r>
              <w:t>α reaching 14.5% (safe)</w:t>
            </w:r>
          </w:p>
        </w:tc>
        <w:tc>
          <w:tcPr>
            <w:tcW w:type="dxa" w:w="1728"/>
          </w:tcPr>
          <w:p>
            <w:r>
              <w:t>VaR at safe α</w:t>
            </w:r>
          </w:p>
        </w:tc>
        <w:tc>
          <w:tcPr>
            <w:tcW w:type="dxa" w:w="1728"/>
          </w:tcPr>
          <w:p>
            <w:r>
              <w:t>E[return]</w:t>
            </w:r>
          </w:p>
        </w:tc>
      </w:tr>
      <w:tr>
        <w:tc>
          <w:tcPr>
            <w:tcW w:type="dxa" w:w="1728"/>
          </w:tcPr>
          <w:p>
            <w:r>
              <w:t>90%</w:t>
            </w:r>
          </w:p>
        </w:tc>
        <w:tc>
          <w:tcPr>
            <w:tcW w:type="dxa" w:w="1728"/>
          </w:tcPr>
          <w:p>
            <w:r>
              <w:t>infeasible (VaR floors at 20.5%)</w:t>
            </w:r>
          </w:p>
        </w:tc>
        <w:tc>
          <w:tcPr>
            <w:tcW w:type="dxa" w:w="1728"/>
          </w:tcPr>
          <w:p>
            <w:r>
              <w:t>infeasible</w:t>
            </w:r>
          </w:p>
        </w:tc>
        <w:tc>
          <w:tcPr>
            <w:tcW w:type="dxa" w:w="1728"/>
          </w:tcPr>
          <w:p>
            <w:r>
              <w:t>—</w:t>
            </w:r>
          </w:p>
        </w:tc>
        <w:tc>
          <w:tcPr>
            <w:tcW w:type="dxa" w:w="1728"/>
          </w:tcPr>
          <w:p>
            <w:r>
              <w:t>—</w:t>
            </w:r>
          </w:p>
        </w:tc>
      </w:tr>
      <w:tr>
        <w:tc>
          <w:tcPr>
            <w:tcW w:type="dxa" w:w="1728"/>
          </w:tcPr>
          <w:p>
            <w:r>
              <w:t>95%</w:t>
            </w:r>
          </w:p>
        </w:tc>
        <w:tc>
          <w:tcPr>
            <w:tcW w:type="dxa" w:w="1728"/>
          </w:tcPr>
          <w:p>
            <w:r>
              <w:t>infeasible (floors at 18.1%)</w:t>
            </w:r>
          </w:p>
        </w:tc>
        <w:tc>
          <w:tcPr>
            <w:tcW w:type="dxa" w:w="1728"/>
          </w:tcPr>
          <w:p>
            <w:r>
              <w:t>infeasible</w:t>
            </w:r>
          </w:p>
        </w:tc>
        <w:tc>
          <w:tcPr>
            <w:tcW w:type="dxa" w:w="1728"/>
          </w:tcPr>
          <w:p>
            <w:r>
              <w:t>—</w:t>
            </w:r>
          </w:p>
        </w:tc>
        <w:tc>
          <w:tcPr>
            <w:tcW w:type="dxa" w:w="1728"/>
          </w:tcPr>
          <w:p>
            <w:r>
              <w:t>—</w:t>
            </w:r>
          </w:p>
        </w:tc>
      </w:tr>
      <w:tr>
        <w:tc>
          <w:tcPr>
            <w:tcW w:type="dxa" w:w="1728"/>
          </w:tcPr>
          <w:p>
            <w:r>
              <w:t>100%</w:t>
            </w:r>
          </w:p>
        </w:tc>
        <w:tc>
          <w:tcPr>
            <w:tcW w:type="dxa" w:w="1728"/>
          </w:tcPr>
          <w:p>
            <w:r>
              <w:t>infeasible (floors at 15.4%)</w:t>
            </w:r>
          </w:p>
        </w:tc>
        <w:tc>
          <w:tcPr>
            <w:tcW w:type="dxa" w:w="1728"/>
          </w:tcPr>
          <w:p>
            <w:r>
              <w:t>infeasible</w:t>
            </w:r>
          </w:p>
        </w:tc>
        <w:tc>
          <w:tcPr>
            <w:tcW w:type="dxa" w:w="1728"/>
          </w:tcPr>
          <w:p>
            <w:r>
              <w:t>—</w:t>
            </w:r>
          </w:p>
        </w:tc>
        <w:tc>
          <w:tcPr>
            <w:tcW w:type="dxa" w:w="1728"/>
          </w:tcPr>
          <w:p>
            <w:r>
              <w:t>—</w:t>
            </w:r>
          </w:p>
        </w:tc>
      </w:tr>
      <w:tr>
        <w:tc>
          <w:tcPr>
            <w:tcW w:type="dxa" w:w="1728"/>
          </w:tcPr>
          <w:p>
            <w:r>
              <w:t>105%</w:t>
            </w:r>
          </w:p>
        </w:tc>
        <w:tc>
          <w:tcPr>
            <w:tcW w:type="dxa" w:w="1728"/>
          </w:tcPr>
          <w:p>
            <w:r>
              <w:t>11.90%</w:t>
            </w:r>
          </w:p>
        </w:tc>
        <w:tc>
          <w:tcPr>
            <w:tcW w:type="dxa" w:w="1728"/>
          </w:tcPr>
          <w:p>
            <w:r>
              <w:t>13.00%</w:t>
            </w:r>
          </w:p>
        </w:tc>
        <w:tc>
          <w:tcPr>
            <w:tcW w:type="dxa" w:w="1728"/>
          </w:tcPr>
          <w:p>
            <w:r>
              <w:t>14.48%</w:t>
            </w:r>
          </w:p>
        </w:tc>
        <w:tc>
          <w:tcPr>
            <w:tcW w:type="dxa" w:w="1728"/>
          </w:tcPr>
          <w:p>
            <w:r>
              <w:t>42.70%</w:t>
            </w:r>
          </w:p>
        </w:tc>
      </w:tr>
    </w:tbl>
    <w:p/>
    <w:p>
      <w:pPr/>
      <w:r>
        <w:t>Optimal allocation: K* = 105% of S₀ (€1,267), α* = 13% → €1,300 in slightly in-the-money 1-year puts + €8,700 in the stock. This delivers a 95% VaR of 14.48% (a ≈ 0.5pp cushion under the ceiling, robust across different random seeds), an expected return of 42.70%, and a Sharpe ratio of 0.964. The out-of-the-money and at-the-money strikes (90%, 95%, 100%) can never reach the ceiling at ANY allocation — they simply pay too little at the 5th-percentile outcome — which is exactly why the slightly-in-the-money strike is the only feasible instrument here. The 0.5pp buffer costs about 1 percentage point of expected return compared to the knife-edge allocation — a cheap price to pay for genuine robustness against sampling noise. Adding still more hedging beyond α* would remain technically compliant but would be strictly worse on return (and eventually pushes VaR back up again via premium drag): the constraint binds exactly here, and every remaining euro of risk budget is spent on expected return instead of unnecessary insurance.</w:t>
      </w:r>
    </w:p>
    <w:p>
      <w:pPr/>
      <w:r>
        <w:t>Sensitivity worth mentioning out loud: using the full-sample (through-cycle) volatility of 39.9% instead, the naked stock is already compliant on its own (VaR ≈ 11%), and the whole exercise would instead become about scaling exposure UP toward the limit rather than hedging it down. The notebook deliberately reports the recent-regime (45.6%) version instead, because it forces a genuine hedging decision — the more conservative and more instructive reading of the task.</w:t>
      </w:r>
    </w:p>
    <w:p>
      <w:pPr>
        <w:pStyle w:val="Heading1"/>
      </w:pPr>
      <w:r>
        <w:t>6. Formula Bank (everything in one place, with plain-English one-liners)</w:t>
      </w:r>
    </w:p>
    <w:p>
      <w:pPr>
        <w:pStyle w:val="Heading3"/>
      </w:pPr>
      <w:r>
        <w:t>Returns and volatility</w:t>
      </w:r>
    </w:p>
    <w:p>
      <w:pPr/>
      <w:r>
        <w:t>rₜ = ln(Sₜ/Sₜ₋₁)  — the daily log-return, the basic building block for everything else.</w:t>
      </w:r>
    </w:p>
    <w:p>
      <w:pPr/>
      <w:r>
        <w:t>σ̂ = √252 · std(r)  — annualised volatility: how jumpy the stock has been, scaled up to a yearly figure. Computed three ways in this notebook (full-sample, 30-day rolling, 252-day trailing) — see Section 2.2.</w:t>
      </w:r>
    </w:p>
    <w:p>
      <w:pPr>
        <w:pStyle w:val="Heading3"/>
      </w:pPr>
      <w:r>
        <w:t>Black-Scholes (with dividend yield q)</w:t>
      </w:r>
    </w:p>
    <w:p>
      <w:pPr/>
      <w:r>
        <w:t>C = S₀e^(−qT)N(d₁) − Ke^(−rT)N(d₂)    P = Ke^(−rT)N(−d₂) − S₀e^(−qT)N(−d₁)</w:t>
      </w:r>
    </w:p>
    <w:p>
      <w:pPr/>
      <w:r>
        <w:t>The fair, arbitrage-free price of a call (C) or put (P) option, given today’s spot, strike, rate, dividend yield, volatility and time to expiry.</w:t>
      </w:r>
    </w:p>
    <w:p>
      <w:pPr/>
      <w:r>
        <w:t>d₁,₂ = [ln(S₀/K) + (r − q ± ½σ²)T] / (σ√T)    put-call parity: C − P = S₀e^(−qT) − Ke^(−rT)</w:t>
      </w:r>
    </w:p>
    <w:p>
      <w:pPr>
        <w:pStyle w:val="Heading3"/>
      </w:pPr>
      <w:r>
        <w:t>One-period replication (Session 2, slide 29)</w:t>
      </w:r>
    </w:p>
    <w:p>
      <w:pPr/>
      <w:r>
        <w:t>Δ = (C_u − C_d)/(S_u − S_d)    C₀ = Δ·S₀ − 1/(1+r)^T · (Δ·S_d − C_d)</w:t>
      </w:r>
    </w:p>
    <w:p>
      <w:pPr/>
      <w:r>
        <w:t>How many shares (Δ) plus how much bond financing reproduces the option’s payoff in the simplest possible one-step model.</w:t>
      </w:r>
    </w:p>
    <w:p>
      <w:pPr>
        <w:pStyle w:val="Heading3"/>
      </w:pPr>
      <w:r>
        <w:t>CRR binomial tree (with dividend yield θ)</w:t>
      </w:r>
    </w:p>
    <w:p>
      <w:pPr/>
      <w:r>
        <w:t>Δt = T/N;   u = e^(σ√Δt);   d = 1/u;   q = (e^((r−θ)Δt) − d)/(u − d)</w:t>
      </w:r>
    </w:p>
    <w:p>
      <w:pPr/>
      <w:r>
        <w:t>S(n,j) = S₀·uʲ·dⁿ⁻ʲ;    V(n,j) = e^(−rΔt)[q·V(n+1,j+1) + (1−q)·V(n+1,j)]</w:t>
      </w:r>
    </w:p>
    <w:p>
      <w:pPr/>
      <w:r>
        <w:t>Barrier: V_DO(n,j) = 0 wherever S(n,j) ≤ B (checked at every step)</w:t>
      </w:r>
    </w:p>
    <w:p>
      <w:pPr/>
      <w:r>
        <w:t>Chop time into N steps; step up or down by u/d; roll payoffs backwards one step at a time as a discounted, weighted average; zero out any knocked-out branch as you go.</w:t>
      </w:r>
    </w:p>
    <w:p>
      <w:pPr>
        <w:pStyle w:val="Heading3"/>
      </w:pPr>
      <w:r>
        <w:t>Greeks</w:t>
      </w:r>
    </w:p>
    <w:p>
      <w:pPr/>
      <w:r>
        <w:t>Analytic: Δ_call = N(d₁);  Γ = N′(d₁)/(Sσ√T);  Vega = S·N′(d₁)·√T;  N′(x) = e^(−x²/2)/√(2π)</w:t>
      </w:r>
    </w:p>
    <w:p>
      <w:pPr/>
      <w:r>
        <w:t>Numerical: Δ ≈ [V(S+h)−V(S−h)]/2h;  Γ ≈ [V(S+h)−2V(S)+V(S−h)]/h²;  Vega ≈ [V(σ+h)−V(σ−h)]/2h</w:t>
      </w:r>
    </w:p>
    <w:p>
      <w:pPr/>
      <w:r>
        <w:t>Sensitivity dials: how much value moves per unit move in spot (Δ), how much Δ itself changes (Γ), and how much value moves per unit move in volatility (Vega).</w:t>
      </w:r>
    </w:p>
    <w:p>
      <w:pPr>
        <w:pStyle w:val="Heading3"/>
      </w:pPr>
      <w:r>
        <w:t>Replicating portfolio / equity fraction</w:t>
      </w:r>
    </w:p>
    <w:p>
      <w:pPr/>
      <w:r>
        <w:t>B(t) = V(t) − Δ(t)S(t);    Equity fraction = Δ(t)·S(t)/V(t)</w:t>
      </w:r>
    </w:p>
    <w:p>
      <w:pPr/>
      <w:r>
        <w:t>What fraction of the certificate’s value is, in effect, "just holding the stock" right now.</w:t>
      </w:r>
    </w:p>
    <w:p>
      <w:pPr>
        <w:pStyle w:val="Heading3"/>
      </w:pPr>
      <w:r>
        <w:t>GBM and Monte Carlo</w:t>
      </w:r>
    </w:p>
    <w:p>
      <w:pPr/>
      <w:r>
        <w:t>dS = μS dt + σS dW;    S_T = S₀·exp[(μ − ½σ²)T + σW_T];    E[S_T] = S₀e^(μT)</w:t>
      </w:r>
    </w:p>
    <w:p>
      <w:pPr/>
      <w:r>
        <w:t>Discrete: ln Sₜ₊Δt = ln Sₜ + (drift)·Δt + z·σ√Δt;   pricing drift = r − q,  real-world drift = μ̂</w:t>
      </w:r>
    </w:p>
    <w:p>
      <w:pPr/>
      <w:r>
        <w:t>MC estimate: Ĉ₀ = e^(−rT)·(1/M)·ΣC_T⁽ᵐ⁾;   standard error = e^(−rT)·s/√M</w:t>
      </w:r>
    </w:p>
    <w:p>
      <w:pPr/>
      <w:r>
        <w:t>Simulate thousands of random future paths, then average the discounted payoff across all of them — the Monte Carlo estimate of a price or a risk statistic.</w:t>
      </w:r>
    </w:p>
    <w:p>
      <w:pPr>
        <w:pStyle w:val="Heading3"/>
      </w:pPr>
      <w:r>
        <w:t>Svensson (1994)</w:t>
      </w:r>
    </w:p>
    <w:p>
      <w:pPr/>
      <w:r>
        <w:t>₀yₜ = β₀ + β₁f₁(t/τ₁) + β₂f₂(t/τ₁) + β₃f₂(t/τ₂),  fᵢ as in Section 2.3;  6 daily ECB parameters</w:t>
      </w:r>
    </w:p>
    <w:p>
      <w:pPr/>
      <w:r>
        <w:t>A flexible, six-parameter smooth curve fitted through the whole term structure of risk-free rates.</w:t>
      </w:r>
    </w:p>
    <w:p>
      <w:pPr>
        <w:pStyle w:val="Heading3"/>
      </w:pPr>
      <w:r>
        <w:t>Risk measures</w:t>
      </w:r>
    </w:p>
    <w:p>
      <w:pPr/>
      <w:r>
        <w:t>95% VaR = −(5th percentile of simulated returns);    95% CVaR = −E[return | return ≤ −VaR]</w:t>
      </w:r>
    </w:p>
    <w:p>
      <w:pPr/>
      <w:r>
        <w:t>Error metrics: ME = mean(P̂−P);  MAE = mean|P̂−P|;  RMSE = √mean((P̂−P)²);  MAPE in %</w:t>
      </w:r>
    </w:p>
    <w:p>
      <w:pPr>
        <w:pStyle w:val="Heading1"/>
      </w:pPr>
      <w:r>
        <w:t>7. Source Register</w:t>
      </w:r>
    </w:p>
    <w:tbl>
      <w:tblPr>
        <w:tblStyle w:val="LightGrid-Accent1"/>
        <w:tblW w:type="auto" w:w="0"/>
        <w:tblLook w:firstColumn="1" w:firstRow="1" w:lastColumn="0" w:lastRow="0" w:noHBand="0" w:noVBand="1" w:val="04A0"/>
      </w:tblPr>
      <w:tblGrid>
        <w:gridCol w:w="4320"/>
        <w:gridCol w:w="4320"/>
      </w:tblGrid>
      <w:tr>
        <w:tc>
          <w:tcPr>
            <w:tcW w:type="dxa" w:w="4320"/>
          </w:tcPr>
          <w:p>
            <w:r>
              <w:t>What</w:t>
            </w:r>
          </w:p>
        </w:tc>
        <w:tc>
          <w:tcPr>
            <w:tcW w:type="dxa" w:w="4320"/>
          </w:tcPr>
          <w:p>
            <w:r>
              <w:t>Source</w:t>
            </w:r>
          </w:p>
        </w:tc>
      </w:tr>
      <w:tr>
        <w:tc>
          <w:tcPr>
            <w:tcW w:type="dxa" w:w="4320"/>
          </w:tcPr>
          <w:p>
            <w:r>
              <w:t>RHM.DE daily prices</w:t>
            </w:r>
          </w:p>
        </w:tc>
        <w:tc>
          <w:tcPr>
            <w:tcW w:type="dxa" w:w="4320"/>
          </w:tcPr>
          <w:p>
            <w:r>
              <w:t>Yahoo Finance via yfinance (auto-adjusted closes), cached to data/rhm_prices.csv</w:t>
            </w:r>
          </w:p>
        </w:tc>
      </w:tr>
      <w:tr>
        <w:tc>
          <w:tcPr>
            <w:tcW w:type="dxa" w:w="4320"/>
          </w:tcPr>
          <w:p>
            <w:r>
              <w:t>Rheinmetall dividend €11.50 (FY2025)</w:t>
            </w:r>
          </w:p>
        </w:tc>
        <w:tc>
          <w:tcPr>
            <w:tcW w:type="dxa" w:w="4320"/>
          </w:tcPr>
          <w:p>
            <w:r>
              <w:t>Rheinmetall IR — ir.rheinmetall.com/investor-relations/share/dividend</w:t>
            </w:r>
          </w:p>
        </w:tc>
      </w:tr>
      <w:tr>
        <w:tc>
          <w:tcPr>
            <w:tcW w:type="dxa" w:w="4320"/>
          </w:tcPr>
          <w:p>
            <w:r>
              <w:t>Svensson parameters (daily)</w:t>
            </w:r>
          </w:p>
        </w:tc>
        <w:tc>
          <w:tcPr>
            <w:tcW w:type="dxa" w:w="4320"/>
          </w:tcPr>
          <w:p>
            <w:r>
              <w:t>ECB Data Portal — AAA euro-area sovereign curve parameters; cached to data/ECB Data Portal_20260615151519.csv</w:t>
            </w:r>
          </w:p>
        </w:tc>
      </w:tr>
      <w:tr>
        <w:tc>
          <w:tcPr>
            <w:tcW w:type="dxa" w:w="4320"/>
          </w:tcPr>
          <w:p>
            <w:r>
              <w:t>DU2076 terms (K = 2,000, B = 1,050, dates)</w:t>
            </w:r>
          </w:p>
        </w:tc>
        <w:tc>
          <w:tcPr>
            <w:tcW w:type="dxa" w:w="4320"/>
          </w:tcPr>
          <w:p>
            <w:r>
              <w:t>DZ BANK product page dzbank-wertpapiere.de/DU2076 and official KID PDF (bib-service.dzbank.de/bib/DE000DU20767-de-DE.pdf)</w:t>
            </w:r>
          </w:p>
        </w:tc>
      </w:tr>
      <w:tr>
        <w:tc>
          <w:tcPr>
            <w:tcW w:type="dxa" w:w="4320"/>
          </w:tcPr>
          <w:p>
            <w:r>
              <w:t>DU2076 daily market closes</w:t>
            </w:r>
          </w:p>
        </w:tc>
        <w:tc>
          <w:tcPr>
            <w:tcW w:type="dxa" w:w="4320"/>
          </w:tcPr>
          <w:p>
            <w:r>
              <w:t>onvista.de historical-prices CSV export → data/cert_prices.csv (the data route recommended in Session 3, slide 3)</w:t>
            </w:r>
          </w:p>
        </w:tc>
      </w:tr>
      <w:tr>
        <w:tc>
          <w:tcPr>
            <w:tcW w:type="dxa" w:w="4320"/>
          </w:tcPr>
          <w:p>
            <w:r>
              <w:t>Market-size figures</w:t>
            </w:r>
          </w:p>
        </w:tc>
        <w:tc>
          <w:tcPr>
            <w:tcW w:type="dxa" w:w="4320"/>
          </w:tcPr>
          <w:p>
            <w:r>
              <w:t>BSW 2023 table (lecture slide 13, total EUR 112bn) + DDV Marktvolumenstatistik (derivateverband.de) for segment shares and issuer list</w:t>
            </w:r>
          </w:p>
        </w:tc>
      </w:tr>
      <w:tr>
        <w:tc>
          <w:tcPr>
            <w:tcW w:type="dxa" w:w="4320"/>
          </w:tcPr>
          <w:p>
            <w:r>
              <w:t>Task IX grid design</w:t>
            </w:r>
          </w:p>
        </w:tc>
        <w:tc>
          <w:tcPr>
            <w:tcW w:type="dxa" w:w="4320"/>
          </w:tcPr>
          <w:p>
            <w:r>
              <w:t>Rubinstein &amp; Leland (J. Finance 1981); Leland (J. Finance 1985)</w:t>
            </w:r>
          </w:p>
        </w:tc>
      </w:tr>
      <w:tr>
        <w:tc>
          <w:tcPr>
            <w:tcW w:type="dxa" w:w="4320"/>
          </w:tcPr>
          <w:p>
            <w:r>
              <w:t>±5pp vol stress magnitude</w:t>
            </w:r>
          </w:p>
        </w:tc>
        <w:tc>
          <w:tcPr>
            <w:tcW w:type="dxa" w:w="4320"/>
          </w:tcPr>
          <w:p>
            <w:r>
              <w:t>FRTB / Basel market-risk vega stress convention (BCBS Jan 2019)</w:t>
            </w:r>
          </w:p>
        </w:tc>
      </w:tr>
      <w:tr>
        <w:tc>
          <w:tcPr>
            <w:tcW w:type="dxa" w:w="4320"/>
          </w:tcPr>
          <w:p>
            <w:r>
              <w:t>−20% crash scenario</w:t>
            </w:r>
          </w:p>
        </w:tc>
        <w:tc>
          <w:tcPr>
            <w:tcW w:type="dxa" w:w="4320"/>
          </w:tcPr>
          <w:p>
            <w:r>
              <w:t>PRIIPs KID adverse-scenario spirit (EU Reg. 1286/2014; ESMA 2017)</w:t>
            </w:r>
          </w:p>
        </w:tc>
      </w:tr>
      <w:tr>
        <w:tc>
          <w:tcPr>
            <w:tcW w:type="dxa" w:w="4320"/>
          </w:tcPr>
          <w:p>
            <w:r>
              <w:t>Methodology (tree, Greeks, GBM, VaR)</w:t>
            </w:r>
          </w:p>
        </w:tc>
        <w:tc>
          <w:tcPr>
            <w:tcW w:type="dxa" w:w="4320"/>
          </w:tcPr>
          <w:p>
            <w:r>
              <w:t>B401 Session notes: Session 2 (slides 2–15), Session 3 (slides 3–13), Q&amp;A slides</w:t>
            </w:r>
          </w:p>
        </w:tc>
      </w:tr>
    </w:tbl>
    <w:p/>
    <w:p>
      <w:pPr>
        <w:pStyle w:val="Heading1"/>
      </w:pPr>
      <w:r>
        <w:t>8. Likely Defence Questions — with Short Answers</w:t>
      </w:r>
    </w:p>
    <w:p>
      <w:pPr/>
      <w:r>
        <w:t>Q: Why can’t Black-Scholes price DU2076?</w:t>
      </w:r>
    </w:p>
    <w:p>
      <w:pPr/>
      <w:r>
        <w:t>A: Its payoff depends on the whole price path — one touch of €1,050 permanently kills the bonus — while Black-Scholes only models the terminal distribution, with no concept of the journey in between. Path dependency needs a tree, Monte Carlo, or a specially derived closed form; we use a CRR tree with barrier absorption applied at every single step.</w:t>
      </w:r>
    </w:p>
    <w:p>
      <w:pPr/>
      <w:r>
        <w:t>Q: Why do model and market prices differ in Task V?</w:t>
      </w:r>
    </w:p>
    <w:p>
      <w:pPr/>
      <w:r>
        <w:t>A: Two reasons. First, the issuer margin embedded in every quoted market price, which a risk-neutral tree simply cannot reproduce. Second, the volatility gap: the market prices on implied volatility, our tree on realized (30-day rolling) volatility. Because the certificate has negative vega and realized vol ran above implied vol over this window, the model over-weights knock-out risk and underprices (ME = −94 EUR). The fit is best exactly when rolling vol dipped (Sep 2025) and worst during the volatility spike (Jan 2026), which is itself supporting evidence for this explanation.</w:t>
      </w:r>
    </w:p>
    <w:p>
      <w:pPr/>
      <w:r>
        <w:t>Q: Why is the certificate’s Vega negative?</w:t>
      </w:r>
    </w:p>
    <w:p>
      <w:pPr/>
      <w:r>
        <w:t>A: Two reinforcing channels: the embedded short call at the cap loses value when volatility rises, and higher volatility also raises the barrier-touch probability, destroying the expected bonus. The holder of this certificate wants calm markets, not turbulent ones.</w:t>
      </w:r>
    </w:p>
    <w:p>
      <w:pPr/>
      <w:r>
        <w:t>Q: Why is Gamma negative near the cap and spiking near the barrier?</w:t>
      </w:r>
    </w:p>
    <w:p>
      <w:pPr/>
      <w:r>
        <w:t>A: Near the cap, the payoff flattens out (short-call character), so Delta falls as the stock rises further. Near the barrier, the knock-out probability reacts violently to the stock price, making the value function highly convex and pushing Delta above 1.</w:t>
      </w:r>
    </w:p>
    <w:p>
      <w:pPr/>
      <w:r>
        <w:t>Q: Why numerical Greeks, and why those specific bump sizes?</w:t>
      </w:r>
    </w:p>
    <w:p>
      <w:pPr/>
      <w:r>
        <w:t>A: No closed form exists for this barrier product, so we use central differences on the tree instead. The Gamma bump must be larger than a single tree-node spacing (≈ €39 at N = 200/500) or the second difference collapses into pure discretisation noise — hence 5% for Gamma versus only 1% for Delta, and 2 percentage points for Vega.</w:t>
      </w:r>
    </w:p>
    <w:p>
      <w:pPr/>
      <w:r>
        <w:t>Q: What does an equity fraction above 100% mean?</w:t>
      </w:r>
    </w:p>
    <w:p>
      <w:pPr/>
      <w:r>
        <w:t>A: The replicating book holds more than one full share of stock, financed by a short (negative) bond position — mild leverage. It happens near the barrier, where Delta approaches 1 while the certificate’s value itself is falling.</w:t>
      </w:r>
    </w:p>
    <w:p>
      <w:pPr/>
      <w:r>
        <w:t>Q: How does the bonus certificate behave in a falling market?</w:t>
      </w:r>
    </w:p>
    <w:p>
      <w:pPr/>
      <w:r>
        <w:t>A: The opposite of a capital-protected note: Delta RISES toward 1 as the stock approaches the barrier, so stock exposure is maximal at exactly the worst possible time, and a single barrier touch converts the product permanently into a capped forward with full downside. That is the key risk-management lesson of Task VII.</w:t>
      </w:r>
    </w:p>
    <w:p>
      <w:pPr/>
      <w:r>
        <w:t>Q: Why do you use three different volatilities, and two different drift concepts?</w:t>
      </w:r>
    </w:p>
    <w:p>
      <w:pPr/>
      <w:r>
        <w:t>A: Volatilities: a stable full-sample σ (39.88%) for the 3-year Part 1 design, because a long-run "climate average" is the right input for a long-horizon decision; a 30-day rolling σ for daily mark-to-model pricing in Part 2, because a contemporaneous risk measure grades better than one number frozen for six months; and a 252-day trailing σ (45.57%) for the Part 3 simulation and put pricing, because a recent-regime figure is the right input for a 1-year forward-looking exercise. Drifts: real-world return distributions always use the physical μ̂; option prices always use the risk-neutral drift r − q — mixing the two up is the classic arbitrage-pricing error.</w:t>
      </w:r>
    </w:p>
    <w:p>
      <w:pPr/>
      <w:r>
        <w:t>Q: Why is there no −½σ² term in your Monte Carlo step?</w:t>
      </w:r>
    </w:p>
    <w:p>
      <w:pPr/>
      <w:r>
        <w:t>A: Because μ̂ is estimated as the mean of log-returns, it already IS the drift of ln S. The −½σ² correction is only needed when converting an arithmetic price drift (like the risk-neutral r used in option pricing) into a log drift — applying it here as well would double-count the correction.</w:t>
      </w:r>
    </w:p>
    <w:p>
      <w:pPr/>
      <w:r>
        <w:t>Q: Why does more put insurance eventually RAISE VaR?</w:t>
      </w:r>
    </w:p>
    <w:p>
      <w:pPr/>
      <w:r>
        <w:t>A: The premium is a certain, upfront cost, while the payoff is only contingent. In this high-drift distribution, the 5th-percentile path often ends only mildly down to begin with, so past an interior optimum, the extra premium drag actually deepens the quantile loss faster than the extra protection helps. Hence the U-shape in α.</w:t>
      </w:r>
    </w:p>
    <w:p>
      <w:pPr/>
      <w:r>
        <w:t>Q: Why does Task XI need the 105% strike, and why the 0.5pp buffer?</w:t>
      </w:r>
    </w:p>
    <w:p>
      <w:pPr/>
      <w:r>
        <w:t>A: Out-of-the-money and at-the-money puts simply pay too little at the 5th-percentile outcome — their VaR floors above 15% at ANY allocation. Only the slightly in-the-money put moves the tail enough to reach the ceiling. The buffer exists because a 50,000-path VaR estimate carries genuine sampling noise, and a portfolio sitting exactly on the limit breaches it in about 45% of re-seeded runs — a risk manager sizes below a limit, not exactly on it. The cost of that safety margin is only about 1 percentage point of expected return.</w:t>
      </w:r>
    </w:p>
    <w:p>
      <w:pPr/>
      <w:r>
        <w:t>Q: What does "fully utilising the constraint" mean if you land at 14.48%, not exactly 15.00%?</w:t>
      </w:r>
    </w:p>
    <w:p>
      <w:pPr/>
      <w:r>
        <w:t>A: The constraint binds economically: among all robustly compliant portfolios, we maximise expected return, and the chosen point sits as close to the ceiling as Monte-Carlo estimation error responsibly allows. The knife-edge allocation (α = 11.9%, VaR = 15.00%) is reported alongside it for full transparency.</w:t>
      </w:r>
    </w:p>
    <w:p>
      <w:pPr/>
      <w:r>
        <w:t>Q: Is your Part 3 drift realistic?</w:t>
      </w:r>
    </w:p>
    <w:p>
      <w:pPr/>
      <w:r>
        <w:t>A: No, and the notebook says so explicitly: 54% p.a. reflects Rheinmetall’s exceptional re-rating, not a genuine forecast; a normal equity risk premium would be more like 6–9% over the risk-free rate. All results are explicitly conditional on this unusual regime, and the sign of some findings would change under a conventional drift assumption.</w:t>
      </w:r>
    </w:p>
    <w:p>
      <w:pPr/>
      <w:r>
        <w:t>Q: How is reproducibility guaranteed?</w:t>
      </w:r>
    </w:p>
    <w:p>
      <w:pPr/>
      <w:r>
        <w:t>A: All external data (stock prices, certificate closes, ECB Svensson parameters) is cached as local files and read from disk — no live API calls happen at runtime; the Monte Carlo random seed is fixed at 2026; one shared path set serves every Part 3 task; and the tree averages N and N+1 steps for numerically stable prices.</w:t>
      </w:r>
    </w:p>
    <w:p>
      <w:pPr/>
    </w:p>
    <w:p>
      <w:pPr/>
      <w:r>
        <w:t>Generated from B401_Assignment_2026.ipynb, the official assignment brief and the Session 2/3/Q&amp;A notes. All figures are executed notebook outputs.</w:t>
      </w:r>
    </w:p>
    <w:sectPr w:rsidR="001F22F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062A" w:rsidRDefault="00C6062A" w:rsidP="00F8674B">
      <w:pPr>
        <w:spacing w:after="0" w:line="240" w:lineRule="auto"/>
      </w:pPr>
      <w:r>
        <w:separator/>
      </w:r>
    </w:p>
  </w:endnote>
  <w:endnote w:type="continuationSeparator" w:id="0">
    <w:p w:rsidR="00C6062A" w:rsidRDefault="00C6062A" w:rsidP="00F86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74B" w:rsidRDefault="00F86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74B" w:rsidRDefault="00F867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74B" w:rsidRDefault="00F86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062A" w:rsidRDefault="00C6062A" w:rsidP="00F8674B">
      <w:pPr>
        <w:spacing w:after="0" w:line="240" w:lineRule="auto"/>
      </w:pPr>
      <w:r>
        <w:separator/>
      </w:r>
    </w:p>
  </w:footnote>
  <w:footnote w:type="continuationSeparator" w:id="0">
    <w:p w:rsidR="00C6062A" w:rsidRDefault="00C6062A" w:rsidP="00F86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74B" w:rsidRDefault="00F86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74B" w:rsidRDefault="00F86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74B" w:rsidRDefault="00F867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898090">
    <w:abstractNumId w:val="8"/>
  </w:num>
  <w:num w:numId="2" w16cid:durableId="395125372">
    <w:abstractNumId w:val="6"/>
  </w:num>
  <w:num w:numId="3" w16cid:durableId="1817144910">
    <w:abstractNumId w:val="5"/>
  </w:num>
  <w:num w:numId="4" w16cid:durableId="288051147">
    <w:abstractNumId w:val="4"/>
  </w:num>
  <w:num w:numId="5" w16cid:durableId="1098211385">
    <w:abstractNumId w:val="7"/>
  </w:num>
  <w:num w:numId="6" w16cid:durableId="1929800723">
    <w:abstractNumId w:val="3"/>
  </w:num>
  <w:num w:numId="7" w16cid:durableId="478235090">
    <w:abstractNumId w:val="2"/>
  </w:num>
  <w:num w:numId="8" w16cid:durableId="872233100">
    <w:abstractNumId w:val="1"/>
  </w:num>
  <w:num w:numId="9" w16cid:durableId="44158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2F4"/>
    <w:rsid w:val="0029639D"/>
    <w:rsid w:val="00326F90"/>
    <w:rsid w:val="0070500F"/>
    <w:rsid w:val="00723196"/>
    <w:rsid w:val="00AA1D8D"/>
    <w:rsid w:val="00B47730"/>
    <w:rsid w:val="00C6062A"/>
    <w:rsid w:val="00CB0664"/>
    <w:rsid w:val="00D87FA8"/>
    <w:rsid w:val="00F86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F1A12"/>
  <w14:defaultImageDpi w14:val="300"/>
  <w15:docId w15:val="{321AB1B8-985D-864C-9590-336608F2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B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AEB42C-5683-F44A-977E-E019C51306B9}">
  <we:reference id="wa200010725" version="1.0.0.1" store="en-GB" storeType="OMEX"/>
  <we:alternateReferences>
    <we:reference id="WA200010725" version="1.0.0.1" store="" storeType="OMEX"/>
  </we:alternateReferences>
  <we:properties>
    <we:property name="claude.fileId" value="&quot;5d0ab0f4-e184-4cc0-a26a-05b60785ea2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19</Pages>
  <Words>7120</Words>
  <Characters>36763</Characters>
  <Application>Microsoft Office Word</Application>
  <DocSecurity>0</DocSecurity>
  <Lines>883</Lines>
  <Paragraphs>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daanish muzaffar</cp:lastModifiedBy>
  <cp:revision>3</cp:revision>
  <dcterms:created xsi:type="dcterms:W3CDTF">2013-12-23T23:15:00Z</dcterms:created>
  <dcterms:modified xsi:type="dcterms:W3CDTF">2026-07-03T12:46:00Z</dcterms:modified>
  <cp:category/>
</cp:coreProperties>
</file>