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3"/>
        <w:tblW w:w="22364" w:type="dxa"/>
        <w:tblLook w:val="04A0" w:firstRow="1" w:lastRow="0" w:firstColumn="1" w:lastColumn="0" w:noHBand="0" w:noVBand="1"/>
      </w:tblPr>
      <w:tblGrid>
        <w:gridCol w:w="4211"/>
        <w:gridCol w:w="12474"/>
        <w:gridCol w:w="5679"/>
      </w:tblGrid>
      <w:tr w:rsidR="00FD7421" w:rsidRPr="001F5232" w:rsidTr="008413FB">
        <w:trPr>
          <w:trHeight w:val="62"/>
        </w:trPr>
        <w:tc>
          <w:tcPr>
            <w:tcW w:w="4211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D7421" w:rsidRPr="001F5232" w:rsidRDefault="00FD7421" w:rsidP="008413FB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Name: Daanish Muzaffar</w:t>
            </w:r>
          </w:p>
          <w:p w:rsidR="00FD7421" w:rsidRPr="001F5232" w:rsidRDefault="00FD7421" w:rsidP="008413FB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Student ID: 7259472</w:t>
            </w:r>
          </w:p>
        </w:tc>
        <w:tc>
          <w:tcPr>
            <w:tcW w:w="12474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D7421" w:rsidRPr="001F5232" w:rsidRDefault="00FD7421" w:rsidP="008413FB">
            <w:pPr>
              <w:spacing w:after="2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>Structured Product Pricing</w:t>
            </w:r>
            <w:r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and Risk Analysis</w:t>
            </w: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on Rheinmetall AG</w:t>
            </w:r>
          </w:p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Eberhard Karls Universität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Tübingen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B401: Continuous-Time Derivatives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Pricing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Summer Term 2026</w:t>
            </w:r>
          </w:p>
        </w:tc>
        <w:tc>
          <w:tcPr>
            <w:tcW w:w="5679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D7421" w:rsidRPr="001F5232" w:rsidRDefault="00FD7421" w:rsidP="008413FB">
            <w:pPr>
              <w:jc w:val="center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INCLUDEPICTURE "https://companieslogo.com/img/orig/RHM.F-1ce5642c.png?t=1720244493"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D1D5CEB" wp14:editId="3A826635">
                  <wp:extent cx="261318" cy="370390"/>
                  <wp:effectExtent l="0" t="0" r="5715" b="0"/>
                  <wp:docPr id="1872818319" name="Picture 2" descr="Rheinmetall Logo im transparenten PNG- und vektorisierten SVG-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heinmetall Logo im transparenten PNG- und vektorisierten SVG-Form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23" cy="423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1F5232">
              <w:rPr>
                <w:rFonts w:ascii="Times New Roman" w:hAnsi="Times New Roman" w:cs="Times New Roman"/>
              </w:rPr>
              <w:fldChar w:fldCharType="begin"/>
            </w:r>
            <w:r w:rsidRPr="001F5232">
              <w:rPr>
                <w:rFonts w:ascii="Times New Roman" w:hAnsi="Times New Roman" w:cs="Times New Roman"/>
              </w:rPr>
              <w:instrText xml:space="preserve"> INCLUDEPICTURE "https://upload.wikimedia.org/wikipedia/commons/thumb/1/19/Rheinmetall_Logo_2021.svg/3840px-Rheinmetall_Logo_2021.svg.png" \* MERGEFORMATINET </w:instrText>
            </w:r>
            <w:r w:rsidRPr="001F5232">
              <w:rPr>
                <w:rFonts w:ascii="Times New Roman" w:hAnsi="Times New Roman" w:cs="Times New Roman"/>
              </w:rPr>
              <w:fldChar w:fldCharType="separate"/>
            </w:r>
            <w:r w:rsidRPr="001F523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97D9FE" wp14:editId="5792BDD6">
                  <wp:extent cx="1331089" cy="272024"/>
                  <wp:effectExtent l="0" t="0" r="2540" b="0"/>
                  <wp:docPr id="247726195" name="Picture 1" descr="A black and grey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726195" name="Picture 1" descr="A black and grey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54" t="37980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703" cy="332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F5232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FD7421" w:rsidRPr="001F5232" w:rsidRDefault="00FD7421" w:rsidP="00FD7421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  <w:b/>
          <w:color w:val="8B1A1A"/>
        </w:rPr>
        <w:sectPr w:rsidR="00FD7421" w:rsidRPr="001F5232" w:rsidSect="00FD742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23820" w:h="16840" w:orient="landscape"/>
          <w:pgMar w:top="567" w:right="567" w:bottom="567" w:left="567" w:header="720" w:footer="720" w:gutter="0"/>
          <w:cols w:num="4" w:space="284"/>
          <w:docGrid w:linePitch="360"/>
        </w:sectPr>
      </w:pPr>
    </w:p>
    <w:p w:rsidR="00FD7421" w:rsidRPr="001F5232" w:rsidRDefault="00FD7421" w:rsidP="00FD7421">
      <w:pPr>
        <w:keepNext/>
        <w:pBdr>
          <w:bottom w:val="single" w:sz="8" w:space="0" w:color="8B1A1A"/>
        </w:pBdr>
        <w:spacing w:after="7" w:line="216" w:lineRule="auto"/>
        <w:rPr>
          <w:rFonts w:ascii="Times New Roman" w:hAnsi="Times New Roman" w:cs="Times New Roman"/>
          <w:b/>
          <w:color w:val="8B1A1A"/>
        </w:rPr>
        <w:sectPr w:rsidR="00FD7421" w:rsidRPr="001F5232" w:rsidSect="00FD7421">
          <w:type w:val="continuous"/>
          <w:pgSz w:w="23820" w:h="16840" w:orient="landscape"/>
          <w:pgMar w:top="567" w:right="567" w:bottom="567" w:left="567" w:header="720" w:footer="720" w:gutter="0"/>
          <w:cols w:space="284"/>
          <w:docGrid w:linePitch="360"/>
        </w:sectPr>
      </w:pPr>
    </w:p>
    <w:p w:rsidR="00FD7421" w:rsidRPr="001F5232" w:rsidRDefault="00FD7421" w:rsidP="00FD7421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1: DESIGNING CERTIFICATES</w:t>
      </w:r>
    </w:p>
    <w:p w:rsidR="00FD7421" w:rsidRPr="001F5232" w:rsidRDefault="00FD7421" w:rsidP="00FD7421">
      <w:pPr>
        <w:keepNext/>
        <w:spacing w:before="4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I: Investor Profile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690"/>
        <w:gridCol w:w="67"/>
      </w:tblGrid>
      <w:tr w:rsidR="00FD7421" w:rsidRPr="001F5232" w:rsidTr="008413FB">
        <w:trPr>
          <w:trHeight w:val="200"/>
        </w:trPr>
        <w:tc>
          <w:tcPr>
            <w:tcW w:w="170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BE1BFD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3757" w:type="dxa"/>
            <w:gridSpan w:val="2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FD7421" w:rsidRPr="001F5232" w:rsidTr="008413FB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Investor</w:t>
            </w:r>
          </w:p>
        </w:tc>
        <w:tc>
          <w:tcPr>
            <w:tcW w:w="3757" w:type="dxa"/>
            <w:gridSpan w:val="2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German retail saver, age 40–60</w:t>
            </w:r>
          </w:p>
        </w:tc>
      </w:tr>
      <w:tr w:rsidR="00FD7421" w:rsidRPr="001F5232" w:rsidTr="008413FB">
        <w:trPr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Perspective</w:t>
            </w:r>
          </w:p>
        </w:tc>
        <w:tc>
          <w:tcPr>
            <w:tcW w:w="3757" w:type="dxa"/>
            <w:gridSpan w:val="2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3–5 years. Expects +15–30% from the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re-rating (€100bn </w:t>
            </w:r>
            <w:proofErr w:type="spellStart"/>
            <w:r w:rsidRPr="001F5232">
              <w:rPr>
                <w:rFonts w:ascii="Times New Roman" w:hAnsi="Times New Roman" w:cs="Times New Roman"/>
              </w:rPr>
              <w:t>programme</w:t>
            </w:r>
            <w:proofErr w:type="spellEnd"/>
            <w:r w:rsidRPr="001F5232">
              <w:rPr>
                <w:rFonts w:ascii="Times New Roman" w:hAnsi="Times New Roman" w:cs="Times New Roman"/>
              </w:rPr>
              <w:t>).</w:t>
            </w:r>
          </w:p>
        </w:tc>
      </w:tr>
      <w:tr w:rsidR="00FD7421" w:rsidRPr="001F5232" w:rsidTr="008413FB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Risk tolerance</w:t>
            </w:r>
          </w:p>
        </w:tc>
        <w:tc>
          <w:tcPr>
            <w:tcW w:w="3757" w:type="dxa"/>
            <w:gridSpan w:val="2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Low. Needs full capital protection. RHM's ~40% vol is too high.</w:t>
            </w:r>
          </w:p>
        </w:tc>
      </w:tr>
      <w:tr w:rsidR="00FD7421" w:rsidRPr="001F5232" w:rsidTr="008413FB">
        <w:trPr>
          <w:gridAfter w:val="1"/>
          <w:wAfter w:w="67" w:type="dxa"/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BE1BFD" w:rsidRDefault="00FD7421" w:rsidP="008413FB">
            <w:pPr>
              <w:spacing w:after="0" w:line="216" w:lineRule="auto"/>
              <w:rPr>
                <w:rFonts w:ascii="Times New Roman" w:hAnsi="Times New Roman" w:cs="Times New Roman"/>
                <w:b/>
                <w:bCs/>
              </w:rPr>
            </w:pPr>
            <w:r w:rsidRPr="001F5232">
              <w:rPr>
                <w:rFonts w:ascii="Times New Roman" w:hAnsi="Times New Roman" w:cs="Times New Roman"/>
                <w:b/>
              </w:rPr>
              <w:t>Alternatives</w:t>
            </w:r>
          </w:p>
        </w:tc>
        <w:tc>
          <w:tcPr>
            <w:tcW w:w="369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Beats direct stock,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ETF, bank deposits, reverse convertibles</w:t>
            </w:r>
          </w:p>
        </w:tc>
      </w:tr>
    </w:tbl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II: Product Design</w:t>
      </w:r>
    </w:p>
    <w:p w:rsidR="00FD7421" w:rsidRPr="001F5232" w:rsidRDefault="00FD7421" w:rsidP="00FD7421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Product: </w:t>
      </w:r>
      <w:r w:rsidRPr="001F5232">
        <w:rPr>
          <w:rFonts w:ascii="Times New Roman" w:hAnsi="Times New Roman" w:cs="Times New Roman"/>
          <w:color w:val="111111"/>
        </w:rPr>
        <w:t>Capped Capital Protected Participation Note on RHM.DE</w:t>
      </w:r>
    </w:p>
    <w:p w:rsidR="00FD7421" w:rsidRPr="001F5232" w:rsidRDefault="00FD7421" w:rsidP="00FD7421">
      <w:pPr>
        <w:spacing w:after="5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Structure: </w:t>
      </w:r>
      <w:r w:rsidRPr="001F5232">
        <w:rPr>
          <w:rFonts w:ascii="Times New Roman" w:hAnsi="Times New Roman" w:cs="Times New Roman"/>
          <w:color w:val="111111"/>
        </w:rPr>
        <w:t>ZCB + 85.2% × [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 xml:space="preserve">1,207) − 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>1,569)]</w:t>
      </w:r>
    </w:p>
    <w:p w:rsidR="00FD7421" w:rsidRPr="001F5232" w:rsidRDefault="00FD7421" w:rsidP="00FD7421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S₀=EUR 1,207 | T=3 y | σ=39.88% (full-sample hist.) | r(3</w:t>
      </w:r>
      <w:proofErr w:type="gramStart"/>
      <w:r w:rsidRPr="001F5232">
        <w:rPr>
          <w:rFonts w:ascii="Times New Roman" w:hAnsi="Times New Roman" w:cs="Times New Roman"/>
          <w:i/>
          <w:color w:val="666666"/>
        </w:rPr>
        <w:t>y)=</w:t>
      </w:r>
      <w:proofErr w:type="gramEnd"/>
      <w:r w:rsidRPr="001F5232">
        <w:rPr>
          <w:rFonts w:ascii="Times New Roman" w:hAnsi="Times New Roman" w:cs="Times New Roman"/>
          <w:i/>
          <w:color w:val="666666"/>
        </w:rPr>
        <w:t>2.62% (Svensson, ECB AAA) | q=0.95%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2091"/>
      </w:tblGrid>
      <w:tr w:rsidR="00FD7421" w:rsidRPr="001F5232" w:rsidTr="008413FB">
        <w:trPr>
          <w:trHeight w:val="238"/>
        </w:trPr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Component</w:t>
            </w:r>
          </w:p>
        </w:tc>
        <w:tc>
          <w:tcPr>
            <w:tcW w:w="20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</w:tr>
      <w:tr w:rsidR="00FD7421" w:rsidRPr="001F5232" w:rsidTr="008413FB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ZCB present value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1,115.79</w:t>
            </w:r>
          </w:p>
        </w:tc>
      </w:tr>
      <w:tr w:rsidR="00FD7421" w:rsidRPr="001F5232" w:rsidTr="008413FB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ATM call (K=1,207)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338.64</w:t>
            </w:r>
          </w:p>
        </w:tc>
      </w:tr>
      <w:tr w:rsidR="00FD7421" w:rsidRPr="001F5232" w:rsidTr="008413FB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 call (K=1,569, short)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231.59</w:t>
            </w:r>
          </w:p>
        </w:tc>
      </w:tr>
      <w:tr w:rsidR="00FD7421" w:rsidRPr="001F5232" w:rsidTr="008413FB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Net spread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107.04</w:t>
            </w:r>
          </w:p>
        </w:tc>
      </w:tr>
      <w:tr w:rsidR="00FD7421" w:rsidRPr="001F5232" w:rsidTr="008413FB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α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85.2%</w:t>
            </w:r>
          </w:p>
        </w:tc>
      </w:tr>
      <w:tr w:rsidR="00FD7421" w:rsidRPr="001F5232" w:rsidTr="008413FB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Max gain at cap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+25.6% (1,515.53)</w:t>
            </w:r>
          </w:p>
        </w:tc>
      </w:tr>
    </w:tbl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zero bond guarantees the EUR 1,207 nominal at maturity. Selling the 130% call funds the 85.2% participation. Both calls gain from higher volatility, so the participation rate stays stable when volatility moves.</w:t>
      </w:r>
    </w:p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III: Payoff Profile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Below EUR 1,207 the note repays the full nominal and beats holding the stock. From roughly EUR 1,323 it also beats the risk-free bond. Above the cap at EUR 1,569 the payoff is fixed at EUR 1,516, and only there does the stock pull ahead.</w:t>
      </w:r>
    </w:p>
    <w:p w:rsidR="00FD7421" w:rsidRPr="001F5232" w:rsidRDefault="00FD7421" w:rsidP="00FD7421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3389AF68" wp14:editId="441AFB81">
            <wp:extent cx="3002542" cy="1719072"/>
            <wp:effectExtent l="0" t="0" r="0" b="0"/>
            <wp:docPr id="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0464" cy="17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21" w:rsidRPr="001F5232" w:rsidRDefault="00FD7421" w:rsidP="00FD7421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1: Certificate vs stock payoff at maturity.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038"/>
        <w:gridCol w:w="993"/>
        <w:gridCol w:w="1967"/>
      </w:tblGrid>
      <w:tr w:rsidR="00FD7421" w:rsidRPr="001F5232" w:rsidTr="008413FB">
        <w:trPr>
          <w:trHeight w:val="238"/>
          <w:jc w:val="center"/>
        </w:trPr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S_T</w:t>
            </w:r>
          </w:p>
        </w:tc>
        <w:tc>
          <w:tcPr>
            <w:tcW w:w="103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CPN</w:t>
            </w:r>
          </w:p>
        </w:tc>
        <w:tc>
          <w:tcPr>
            <w:tcW w:w="99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Stock</w:t>
            </w:r>
          </w:p>
        </w:tc>
        <w:tc>
          <w:tcPr>
            <w:tcW w:w="196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Region</w:t>
            </w:r>
          </w:p>
        </w:tc>
      </w:tr>
      <w:tr w:rsidR="00FD7421" w:rsidRPr="001F5232" w:rsidTr="008413FB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Protected</w:t>
            </w:r>
          </w:p>
        </w:tc>
      </w:tr>
      <w:tr w:rsidR="00FD7421" w:rsidRPr="001F5232" w:rsidTr="008413FB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Floor (ATM)</w:t>
            </w:r>
          </w:p>
        </w:tc>
      </w:tr>
      <w:tr w:rsidR="00FD7421" w:rsidRPr="001F5232" w:rsidTr="008413FB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1,305.67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Break-even vs bond</w:t>
            </w:r>
          </w:p>
        </w:tc>
      </w:tr>
      <w:tr w:rsidR="00FD7421" w:rsidRPr="001F5232" w:rsidTr="008413FB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 cap</w:t>
            </w:r>
          </w:p>
        </w:tc>
      </w:tr>
      <w:tr w:rsidR="00FD7421" w:rsidRPr="001F5232" w:rsidTr="008413FB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Capped</w:t>
            </w:r>
          </w:p>
        </w:tc>
      </w:tr>
    </w:tbl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IV: Market Size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1"/>
        <w:gridCol w:w="992"/>
        <w:gridCol w:w="975"/>
      </w:tblGrid>
      <w:tr w:rsidR="00FD7421" w:rsidRPr="001F5232" w:rsidTr="008413FB">
        <w:trPr>
          <w:trHeight w:val="238"/>
        </w:trPr>
        <w:tc>
          <w:tcPr>
            <w:tcW w:w="326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Segment</w:t>
            </w:r>
          </w:p>
        </w:tc>
        <w:tc>
          <w:tcPr>
            <w:tcW w:w="99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  <w:tc>
          <w:tcPr>
            <w:tcW w:w="97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Share</w:t>
            </w:r>
          </w:p>
        </w:tc>
      </w:tr>
      <w:tr w:rsidR="00FD7421" w:rsidRPr="001F5232" w:rsidTr="008413FB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Total structured products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112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100%</w:t>
            </w:r>
          </w:p>
        </w:tc>
      </w:tr>
      <w:tr w:rsidR="00FD7421" w:rsidRPr="001F5232" w:rsidTr="008413FB">
        <w:trPr>
          <w:trHeight w:val="238"/>
        </w:trPr>
        <w:tc>
          <w:tcPr>
            <w:tcW w:w="326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Capital protection (BSW 2023)</w:t>
            </w:r>
          </w:p>
        </w:tc>
        <w:tc>
          <w:tcPr>
            <w:tcW w:w="99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 xml:space="preserve">4,254 </w:t>
            </w:r>
            <w:proofErr w:type="spellStart"/>
            <w:r w:rsidRPr="001F5232">
              <w:rPr>
                <w:rFonts w:ascii="Times New Roman" w:hAnsi="Times New Roman" w:cs="Times New Roman"/>
                <w:color w:val="111111"/>
              </w:rPr>
              <w:t>mn</w:t>
            </w:r>
            <w:proofErr w:type="spellEnd"/>
          </w:p>
        </w:tc>
        <w:tc>
          <w:tcPr>
            <w:tcW w:w="97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</w:tr>
      <w:tr w:rsidR="00FD7421" w:rsidRPr="001F5232" w:rsidTr="008413FB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notes (own est.)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~2.3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~55%</w:t>
            </w:r>
          </w:p>
        </w:tc>
      </w:tr>
    </w:tbl>
    <w:p w:rsidR="00FD7421" w:rsidRPr="0004054A" w:rsidRDefault="00FD7421" w:rsidP="00FD7421">
      <w:pPr>
        <w:spacing w:after="8" w:line="216" w:lineRule="auto"/>
        <w:rPr>
          <w:rFonts w:ascii="Times New Roman" w:hAnsi="Times New Roman" w:cs="Times New Roman"/>
          <w:color w:val="111111"/>
        </w:rPr>
      </w:pPr>
      <w:r w:rsidRPr="001F5232">
        <w:rPr>
          <w:rFonts w:ascii="Times New Roman" w:hAnsi="Times New Roman" w:cs="Times New Roman"/>
          <w:color w:val="111111"/>
        </w:rPr>
        <w:t>Demand comes from capital-preserving savers with sector convictions, falling deposit rates and MiFID II suitability rules.</w:t>
      </w:r>
    </w:p>
    <w:p w:rsidR="00FD7421" w:rsidRPr="001F5232" w:rsidRDefault="00FD7421" w:rsidP="00FD7421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2: VALUATION OF CERTIFICATES</w:t>
      </w:r>
    </w:p>
    <w:p w:rsidR="00FD7421" w:rsidRPr="001F5232" w:rsidRDefault="00FD7421" w:rsidP="00FD7421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>DU2076 Bonus Certificate with Cap on RHM.DE (DZ BANK)</w:t>
      </w:r>
    </w:p>
    <w:p w:rsidR="00FD7421" w:rsidRPr="001F5232" w:rsidRDefault="00FD7421" w:rsidP="00FD7421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Decomposition: Down-and-Out Put (K=2,000, B=1,050) + Capped Forward </w:t>
      </w:r>
      <w:proofErr w:type="gramStart"/>
      <w:r w:rsidRPr="001F5232">
        <w:rPr>
          <w:rFonts w:ascii="Times New Roman" w:hAnsi="Times New Roman" w:cs="Times New Roman"/>
          <w:color w:val="111111"/>
        </w:rPr>
        <w:t>min(</w:t>
      </w:r>
      <w:proofErr w:type="gramEnd"/>
      <w:r w:rsidRPr="001F5232">
        <w:rPr>
          <w:rFonts w:ascii="Times New Roman" w:hAnsi="Times New Roman" w:cs="Times New Roman"/>
          <w:color w:val="111111"/>
        </w:rPr>
        <w:t>S_T, 2,000)</w:t>
      </w:r>
    </w:p>
    <w:p w:rsidR="00FD7421" w:rsidRPr="001F5232" w:rsidRDefault="00FD7421" w:rsidP="00FD7421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B=EUR 1,050 (continuous) | Bonus/Cap K=EUR 2,000 | S at issue = EUR 1,707.93 | barrier intact</w:t>
      </w:r>
    </w:p>
    <w:p w:rsidR="00FD7421" w:rsidRPr="001F5232" w:rsidRDefault="00FD7421" w:rsidP="00FD7421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Issued 04 Sep 2025, final valuation 18 Jun 2027 | Window: 04 Sep 2025 – 01 Jun 2026 (183 trading days, comfortably above the 100-day minimum)</w:t>
      </w:r>
    </w:p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V: Valuation with a Binomial Tree (N=500)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Each day is priced with its own maturity-matched ECB Svensson rate, which averaged 2.14%, and the 30-day rolling historical volatility, which averaged 44.4%. The tree checks the barrier at every node. Black-Scholes cannot price this path-dependent knock-out.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455"/>
      </w:tblGrid>
      <w:tr w:rsidR="00FD7421" w:rsidRPr="001F5232" w:rsidTr="008413FB">
        <w:trPr>
          <w:trHeight w:val="245"/>
        </w:trPr>
        <w:tc>
          <w:tcPr>
            <w:tcW w:w="283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Metric</w:t>
            </w:r>
          </w:p>
        </w:tc>
        <w:tc>
          <w:tcPr>
            <w:tcW w:w="245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</w:tr>
      <w:tr w:rsidR="00FD7421" w:rsidRPr="001F5232" w:rsidTr="008413FB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Mean Error (ME)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−94.25 EUR</w:t>
            </w:r>
          </w:p>
        </w:tc>
      </w:tr>
      <w:tr w:rsidR="00FD7421" w:rsidRPr="001F5232" w:rsidTr="008413FB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110.89 EUR</w:t>
            </w:r>
          </w:p>
        </w:tc>
      </w:tr>
      <w:tr w:rsidR="00FD7421" w:rsidRPr="001F5232" w:rsidTr="008413FB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RMSE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123.31 EUR</w:t>
            </w:r>
          </w:p>
        </w:tc>
      </w:tr>
      <w:tr w:rsidR="00FD7421" w:rsidRPr="001F5232" w:rsidTr="008413FB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MAPE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7.11%</w:t>
            </w:r>
          </w:p>
        </w:tc>
      </w:tr>
      <w:tr w:rsidR="00FD7421" w:rsidRPr="001F5232" w:rsidTr="008413FB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Quartiles q25/q50/q75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−153.59 / −95.02 / −56.44</w:t>
            </w:r>
          </w:p>
        </w:tc>
      </w:tr>
    </w:tbl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model underprices the market throughout the window. The market prices DU2076 at an implied volatility of 37.0% on average, while the model uses realized volatility averaging 44.4%. Vega is negative, so the higher vol input pushes the model price below the market. The remaining gap is DZ BANK's issuer margin.</w:t>
      </w:r>
    </w:p>
    <w:p w:rsidR="00FD7421" w:rsidRPr="001F5232" w:rsidRDefault="00FD7421" w:rsidP="00FD7421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The best fit is 18 Sep 2025 with an error of EUR 3. The worst is 05 Jan 2026 with EUR 245, when realized vol ran at 53.6% against an implied 35.3%.</w:t>
      </w:r>
    </w:p>
    <w:p w:rsidR="00FD7421" w:rsidRPr="001F5232" w:rsidRDefault="00FD7421" w:rsidP="00FD7421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A2F4BB8" wp14:editId="6378B319">
            <wp:extent cx="2572409" cy="1572768"/>
            <wp:effectExtent l="0" t="0" r="0" b="2540"/>
            <wp:docPr id="2" name="Picture 2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pri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5475" cy="16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21" w:rsidRPr="001F5232" w:rsidRDefault="00FD7421" w:rsidP="00FD7421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2: </w:t>
      </w:r>
      <w:r>
        <w:rPr>
          <w:rFonts w:ascii="Times New Roman" w:hAnsi="Times New Roman" w:cs="Times New Roman"/>
          <w:i/>
          <w:color w:val="666666"/>
        </w:rPr>
        <w:t>Our</w:t>
      </w:r>
      <w:r w:rsidRPr="001F5232">
        <w:rPr>
          <w:rFonts w:ascii="Times New Roman" w:hAnsi="Times New Roman" w:cs="Times New Roman"/>
          <w:i/>
          <w:color w:val="666666"/>
        </w:rPr>
        <w:t xml:space="preserve"> model</w:t>
      </w:r>
      <w:r>
        <w:rPr>
          <w:rFonts w:ascii="Times New Roman" w:hAnsi="Times New Roman" w:cs="Times New Roman"/>
          <w:i/>
          <w:color w:val="666666"/>
        </w:rPr>
        <w:t xml:space="preserve"> price</w:t>
      </w:r>
      <w:r w:rsidRPr="001F5232">
        <w:rPr>
          <w:rFonts w:ascii="Times New Roman" w:hAnsi="Times New Roman" w:cs="Times New Roman"/>
          <w:i/>
          <w:color w:val="666666"/>
        </w:rPr>
        <w:t xml:space="preserve"> vs DU2076 market price</w:t>
      </w:r>
    </w:p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VI: Sensitivity Analysis (Greeks)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Greeks evaluated at S=EUR 1,708, T=1.79 y, σ=44.7% (median rolling vol). Certificate value EUR 1,452.87.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1"/>
        <w:gridCol w:w="941"/>
        <w:gridCol w:w="3662"/>
      </w:tblGrid>
      <w:tr w:rsidR="00FD7421" w:rsidRPr="001F5232" w:rsidTr="008413FB">
        <w:trPr>
          <w:trHeight w:val="240"/>
        </w:trPr>
        <w:tc>
          <w:tcPr>
            <w:tcW w:w="7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Greek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  <w:tc>
          <w:tcPr>
            <w:tcW w:w="366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Key insight</w:t>
            </w:r>
          </w:p>
        </w:tc>
      </w:tr>
      <w:tr w:rsidR="00FD7421" w:rsidRPr="001F5232" w:rsidTr="008413FB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Delta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0.602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Rises above 1 as S nears the barrier, falls near the cap</w:t>
            </w:r>
          </w:p>
        </w:tc>
      </w:tr>
      <w:tr w:rsidR="00FD7421" w:rsidRPr="001F5232" w:rsidTr="008413FB">
        <w:trPr>
          <w:trHeight w:val="240"/>
        </w:trPr>
        <w:tc>
          <w:tcPr>
            <w:tcW w:w="7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Gamma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−0.0004</w:t>
            </w:r>
          </w:p>
        </w:tc>
        <w:tc>
          <w:tcPr>
            <w:tcW w:w="366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 xml:space="preserve">Negative </w:t>
            </w:r>
            <w:r>
              <w:rPr>
                <w:rFonts w:ascii="Times New Roman" w:hAnsi="Times New Roman" w:cs="Times New Roman"/>
                <w:color w:val="111111"/>
              </w:rPr>
              <w:t>at</w:t>
            </w:r>
            <w:r w:rsidRPr="001F5232">
              <w:rPr>
                <w:rFonts w:ascii="Times New Roman" w:hAnsi="Times New Roman" w:cs="Times New Roman"/>
                <w:color w:val="111111"/>
              </w:rPr>
              <w:t xml:space="preserve"> the cap, spikes at the barrier</w:t>
            </w:r>
          </w:p>
        </w:tc>
      </w:tr>
      <w:tr w:rsidR="00FD7421" w:rsidRPr="001F5232" w:rsidTr="008413FB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Vega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−14.37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Negative: higher vol raises knock-out risk and the value of the short cap call</w:t>
            </w:r>
          </w:p>
        </w:tc>
      </w:tr>
    </w:tbl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Theta is +0.36 EUR per day, because passing time reduces the barrier risk. Rho is −12.4 EUR per +1pp, because the bonus payment is discounted like a bond.</w:t>
      </w:r>
    </w:p>
    <w:p w:rsidR="00FD7421" w:rsidRPr="001F5232" w:rsidRDefault="00FD7421" w:rsidP="00FD7421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287BBD72" wp14:editId="2E1F7F74">
            <wp:extent cx="3582225" cy="1188720"/>
            <wp:effectExtent l="0" t="0" r="0" b="5080"/>
            <wp:docPr id="3" name="Picture 3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oup of graphs showing different colo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4035" cy="119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21" w:rsidRPr="001F5232" w:rsidRDefault="00FD7421" w:rsidP="00FD7421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3: Delta, Gamma and Vega </w:t>
      </w:r>
    </w:p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VII: Replicating Portfolio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tree rebuilds the certificate each day as Delta shares of stock plus a bond position, V(t)=Δ(t)·S(t)+B(t). Delta ran from 0.14 during the autumn rally to 1.07 near the barrier. The equity fraction was above 50% on 143 of 183 days and peaked at 112%, where the bond leg turned negative. The certificate concentrates stock exposure exactly when the market falls, the opposite of a capital-protected note. Below the barrier the payoff becomes a capped forward and the equity fraction sits near 81%, rising toward 98%.</w:t>
      </w:r>
    </w:p>
    <w:p w:rsidR="00FD7421" w:rsidRPr="001F5232" w:rsidRDefault="00FD7421" w:rsidP="00FD7421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09695218" wp14:editId="287F2B1A">
            <wp:extent cx="2757932" cy="1639851"/>
            <wp:effectExtent l="0" t="0" r="0" b="0"/>
            <wp:docPr id="4" name="Picture 4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graph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0475" cy="16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21" w:rsidRPr="001F5232" w:rsidRDefault="00FD7421" w:rsidP="00FD7421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4: Equity fraction (Δ×S / Value) vs stock price S.</w:t>
      </w:r>
    </w:p>
    <w:p w:rsidR="00FD7421" w:rsidRPr="001F5232" w:rsidRDefault="00FD7421" w:rsidP="00FD7421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3: PORTFOLIO INSURANCE STRATEGY</w:t>
      </w:r>
    </w:p>
    <w:p w:rsidR="00FD7421" w:rsidRPr="001F5232" w:rsidRDefault="00FD7421" w:rsidP="00FD7421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>EUR 10,000 | T*=1 y | S₀=EUR 1,207 | Risk-neutral log-drift r−q−½σ² = −8.27% p.a. (historical drift 54.05% for reference only) | σ=45.57% (252-day) | r=3.07% (10y Svensson) | q=0.95%</w:t>
      </w:r>
    </w:p>
    <w:p w:rsidR="00FD7421" w:rsidRPr="001F5232" w:rsidRDefault="00FD7421" w:rsidP="00FD7421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50,000 GBM paths × 252 steps | seed 2026 | </w:t>
      </w:r>
      <w:proofErr w:type="gramStart"/>
      <w:r w:rsidRPr="001F5232">
        <w:rPr>
          <w:rFonts w:ascii="Times New Roman" w:hAnsi="Times New Roman" w:cs="Times New Roman"/>
          <w:color w:val="111111"/>
        </w:rPr>
        <w:t>SE(</w:t>
      </w:r>
      <w:proofErr w:type="gramEnd"/>
      <w:r w:rsidRPr="001F5232">
        <w:rPr>
          <w:rFonts w:ascii="Times New Roman" w:hAnsi="Times New Roman" w:cs="Times New Roman"/>
          <w:color w:val="111111"/>
        </w:rPr>
        <w:t>mean)=0.221% | simple wealth returns | terminal range EUR 136–7,666</w:t>
      </w:r>
    </w:p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VIII: Without Risk Management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</w:rPr>
        <w:t xml:space="preserve">Mean=2.16% | Std=49.34% | Skew=1.60 | </w:t>
      </w:r>
      <w:proofErr w:type="spellStart"/>
      <w:r w:rsidRPr="001F5232">
        <w:rPr>
          <w:rFonts w:ascii="Times New Roman" w:hAnsi="Times New Roman" w:cs="Times New Roman"/>
        </w:rPr>
        <w:t>VaR</w:t>
      </w:r>
      <w:proofErr w:type="spellEnd"/>
      <w:r w:rsidRPr="001F5232">
        <w:rPr>
          <w:rFonts w:ascii="Times New Roman" w:hAnsi="Times New Roman" w:cs="Times New Roman"/>
        </w:rPr>
        <w:t>₉₅=56.38% | CVaR₉₅=63.60%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simulated mean of +2.16% matches the risk-neutral benchmark e^(r−</w:t>
      </w:r>
      <w:proofErr w:type="gramStart"/>
      <w:r w:rsidRPr="001F5232">
        <w:rPr>
          <w:rFonts w:ascii="Times New Roman" w:hAnsi="Times New Roman" w:cs="Times New Roman"/>
          <w:color w:val="111111"/>
        </w:rPr>
        <w:t>q)−</w:t>
      </w:r>
      <w:proofErr w:type="gramEnd"/>
      <w:r w:rsidRPr="001F5232">
        <w:rPr>
          <w:rFonts w:ascii="Times New Roman" w:hAnsi="Times New Roman" w:cs="Times New Roman"/>
          <w:color w:val="111111"/>
        </w:rPr>
        <w:t xml:space="preserve">1 = 2.14%. The negative log-drift is volatility drag, not a forecast of a falling stock. The distribution is strongly right-skewed with a heavy left tail. The unhedged 95%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of 56.38% is far above the 15% limit from Task XI, so the position must be hedged.</w:t>
      </w:r>
    </w:p>
    <w:p w:rsidR="00FD7421" w:rsidRPr="001F5232" w:rsidRDefault="00FD7421" w:rsidP="00FD7421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31A549C1" wp14:editId="2D0B4BA1">
            <wp:extent cx="2685032" cy="1596504"/>
            <wp:effectExtent l="0" t="0" r="0" b="0"/>
            <wp:docPr id="5" name="Picture 5" descr="A graph of a number of return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a number of return distribu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0937" cy="1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21" w:rsidRPr="001F5232" w:rsidRDefault="00FD7421" w:rsidP="00FD7421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5: 1-year return distribution, unhedged.</w:t>
      </w:r>
    </w:p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IX: Portfolio Insurance (α × K grid)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The portfolio holds (1−α) in the stock and α in one-year puts.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falls steeply up to α=10% at every strike. Beyond that the strikes at or below 100% turn U-shaped, and only K=105% keeps improving out to α=20%. The cheap 90% strike is best at small budgets, while the near-the-money strikes win from α=15%. The grid minimum is α=15% with K=100% at a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of 14.73%. Larger put positions raise skewness but barely change the mean. The table shows the 105% strike used in Task XI.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747"/>
        <w:gridCol w:w="913"/>
        <w:gridCol w:w="747"/>
        <w:gridCol w:w="759"/>
        <w:gridCol w:w="799"/>
      </w:tblGrid>
      <w:tr w:rsidR="00FD7421" w:rsidRPr="001F5232" w:rsidTr="008413FB">
        <w:trPr>
          <w:trHeight w:val="227"/>
          <w:jc w:val="center"/>
        </w:trPr>
        <w:tc>
          <w:tcPr>
            <w:tcW w:w="49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α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91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F5232">
              <w:rPr>
                <w:rFonts w:ascii="Times New Roman" w:hAnsi="Times New Roman" w:cs="Times New Roman"/>
                <w:b/>
                <w:color w:val="FFFFFF"/>
              </w:rPr>
              <w:t>VaR</w:t>
            </w:r>
            <w:proofErr w:type="spellEnd"/>
            <w:r w:rsidRPr="001F5232">
              <w:rPr>
                <w:rFonts w:ascii="Times New Roman" w:hAnsi="Times New Roman" w:cs="Times New Roman"/>
                <w:b/>
                <w:color w:val="FFFFFF"/>
              </w:rPr>
              <w:t>₉₅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FD7421" w:rsidRPr="001F5232" w:rsidTr="008413FB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2.20%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42.72%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2.01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42.84%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47.85%</w:t>
            </w:r>
          </w:p>
        </w:tc>
      </w:tr>
      <w:tr w:rsidR="00FD7421" w:rsidRPr="001F5232" w:rsidTr="008413FB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36.51%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2.54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29.30%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32.10%</w:t>
            </w:r>
          </w:p>
        </w:tc>
      </w:tr>
      <w:tr w:rsidR="00FD7421" w:rsidRPr="001F5232" w:rsidTr="008413FB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2.29%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30.98%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3.13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15.77%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16.36%</w:t>
            </w:r>
          </w:p>
        </w:tc>
      </w:tr>
      <w:tr w:rsidR="00FD7421" w:rsidRPr="001F5232" w:rsidTr="008413FB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2.33%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26.53%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3.55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14.92%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15.45%</w:t>
            </w:r>
          </w:p>
        </w:tc>
      </w:tr>
    </w:tbl>
    <w:p w:rsidR="00FD7421" w:rsidRPr="001F5232" w:rsidRDefault="00FD7421" w:rsidP="00FD7421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25612327" wp14:editId="1A8E4378">
            <wp:extent cx="3490749" cy="1284514"/>
            <wp:effectExtent l="0" t="0" r="1905" b="0"/>
            <wp:docPr id="6" name="Picture 6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showing different colored squar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0749" cy="12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21" w:rsidRPr="001F5232" w:rsidRDefault="00FD7421" w:rsidP="00FD7421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6: 95% </w:t>
      </w:r>
      <w:proofErr w:type="spellStart"/>
      <w:r w:rsidRPr="001F5232">
        <w:rPr>
          <w:rFonts w:ascii="Times New Roman" w:hAnsi="Times New Roman" w:cs="Times New Roman"/>
          <w:i/>
          <w:color w:val="666666"/>
        </w:rPr>
        <w:t>VaR</w:t>
      </w:r>
      <w:proofErr w:type="spellEnd"/>
      <w:r w:rsidRPr="001F5232">
        <w:rPr>
          <w:rFonts w:ascii="Times New Roman" w:hAnsi="Times New Roman" w:cs="Times New Roman"/>
          <w:i/>
          <w:color w:val="666666"/>
        </w:rPr>
        <w:t xml:space="preserve"> (left) and mean return (right) across α and K.</w:t>
      </w:r>
    </w:p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X: Stress Scenarios (α=10%, K=95%S₀)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A volatility shock changes only the purchase price of the puts. With vol +5pp the budget buys fewer contracts and the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rises to 28.25%; with vol −5pp it drops to 18.44%. A −20% crash at mid-year pushes the mean return to −9.70%. The worst case combines the crash with expensive puts, where the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reaches 30.58%. Combined with cheap puts, the crash even beats the baseline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>, because the larger put position ends up deep in the money. All six scenarios breach the 15% limit.</w:t>
      </w:r>
    </w:p>
    <w:tbl>
      <w:tblPr>
        <w:tblW w:w="5759" w:type="dxa"/>
        <w:tblLook w:val="04A0" w:firstRow="1" w:lastRow="0" w:firstColumn="1" w:lastColumn="0" w:noHBand="0" w:noVBand="1"/>
      </w:tblPr>
      <w:tblGrid>
        <w:gridCol w:w="1748"/>
        <w:gridCol w:w="883"/>
        <w:gridCol w:w="881"/>
        <w:gridCol w:w="611"/>
        <w:gridCol w:w="797"/>
        <w:gridCol w:w="839"/>
      </w:tblGrid>
      <w:tr w:rsidR="00FD7421" w:rsidRPr="001F5232" w:rsidTr="008413FB">
        <w:trPr>
          <w:trHeight w:val="238"/>
        </w:trPr>
        <w:tc>
          <w:tcPr>
            <w:tcW w:w="184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Scenario</w:t>
            </w:r>
          </w:p>
        </w:tc>
        <w:tc>
          <w:tcPr>
            <w:tcW w:w="76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89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614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80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F5232">
              <w:rPr>
                <w:rFonts w:ascii="Times New Roman" w:hAnsi="Times New Roman" w:cs="Times New Roman"/>
                <w:b/>
                <w:color w:val="FFFFFF"/>
              </w:rPr>
              <w:t>VaR</w:t>
            </w:r>
            <w:proofErr w:type="spellEnd"/>
            <w:r w:rsidRPr="001F5232">
              <w:rPr>
                <w:rFonts w:ascii="Times New Roman" w:hAnsi="Times New Roman" w:cs="Times New Roman"/>
                <w:b/>
                <w:color w:val="FFFFFF"/>
              </w:rPr>
              <w:t>₉₅</w:t>
            </w:r>
          </w:p>
        </w:tc>
        <w:tc>
          <w:tcPr>
            <w:tcW w:w="84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FD7421" w:rsidRPr="001F5232" w:rsidTr="008413FB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Baseline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2.24%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36.21%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2.63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23.99%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25.33%</w:t>
            </w:r>
          </w:p>
        </w:tc>
      </w:tr>
      <w:tr w:rsidR="00FD7421" w:rsidRPr="001F5232" w:rsidTr="008413FB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1.05%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37.02%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28.25%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30.18%</w:t>
            </w:r>
          </w:p>
        </w:tc>
      </w:tr>
      <w:tr w:rsidR="00FD7421" w:rsidRPr="001F5232" w:rsidTr="008413FB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−5pp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35.24%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2.77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18.44%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19.00%</w:t>
            </w:r>
          </w:p>
        </w:tc>
      </w:tr>
      <w:tr w:rsidR="00FD7421" w:rsidRPr="001F5232" w:rsidTr="008413FB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−20% shock T/2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−9.70%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24.61%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3.41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26.67%</w:t>
            </w:r>
          </w:p>
        </w:tc>
      </w:tr>
      <w:tr w:rsidR="00FD7421" w:rsidRPr="001F5232" w:rsidTr="008413FB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−11.64%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25.65%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3.16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30.58%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32.13%</w:t>
            </w:r>
          </w:p>
        </w:tc>
      </w:tr>
      <w:tr w:rsidR="00FD7421" w:rsidRPr="001F5232" w:rsidTr="008413FB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−5pp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−7.17%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23.38%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3.72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19.11%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FD7421" w:rsidRPr="001F5232" w:rsidRDefault="00FD7421" w:rsidP="008413FB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19.55%</w:t>
            </w:r>
          </w:p>
        </w:tc>
      </w:tr>
    </w:tbl>
    <w:p w:rsidR="00FD7421" w:rsidRPr="001F5232" w:rsidRDefault="00FD7421" w:rsidP="00FD7421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 xml:space="preserve">Task XI: Optimal </w:t>
      </w:r>
      <w:proofErr w:type="spellStart"/>
      <w:r w:rsidRPr="001F5232">
        <w:rPr>
          <w:rFonts w:ascii="Times New Roman" w:hAnsi="Times New Roman" w:cs="Times New Roman"/>
          <w:b/>
          <w:color w:val="8B1A1A"/>
        </w:rPr>
        <w:t>VaR</w:t>
      </w:r>
      <w:proofErr w:type="spellEnd"/>
      <w:r w:rsidRPr="001F5232">
        <w:rPr>
          <w:rFonts w:ascii="Times New Roman" w:hAnsi="Times New Roman" w:cs="Times New Roman"/>
          <w:b/>
          <w:color w:val="8B1A1A"/>
        </w:rPr>
        <w:t>-Constrained Allocation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The 95% one-year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may not exceed 15%, and the unhedged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of 56.38% forces a hedge. Searching α from 0% to 50% for every strike shows the 90% and 95% strikes never reach the limit; their best </w:t>
      </w:r>
      <w:proofErr w:type="spellStart"/>
      <w:r w:rsidRPr="001F5232">
        <w:rPr>
          <w:rFonts w:ascii="Times New Roman" w:hAnsi="Times New Roman" w:cs="Times New Roman"/>
          <w:color w:val="111111"/>
        </w:rPr>
        <w:t>VaRs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are 19.33% and 16.67%, no matter how large the position gets. Only the 100% and 105% strikes can meet the constraint.</w:t>
      </w:r>
    </w:p>
    <w:p w:rsidR="00FD7421" w:rsidRPr="001F5232" w:rsidRDefault="00FD7421" w:rsidP="00FD7421">
      <w:pPr>
        <w:shd w:val="clear" w:color="auto" w:fill="8B1A1A"/>
        <w:spacing w:before="22" w:after="22" w:line="216" w:lineRule="auto"/>
        <w:jc w:val="center"/>
        <w:rPr>
          <w:rFonts w:ascii="Times New Roman" w:hAnsi="Times New Roman" w:cs="Times New Roman"/>
          <w:bCs/>
        </w:rPr>
      </w:pPr>
      <w:r w:rsidRPr="001F5232">
        <w:rPr>
          <w:rFonts w:ascii="Times New Roman" w:hAnsi="Times New Roman" w:cs="Times New Roman"/>
          <w:bCs/>
          <w:color w:val="FFFFFF"/>
        </w:rPr>
        <w:t xml:space="preserve">The optimal portfolio allocates 15.50% to put options and 84.50% to the stock, with the strike at 105% of S₀. This brings the 95% </w:t>
      </w:r>
      <w:proofErr w:type="spellStart"/>
      <w:r w:rsidRPr="001F5232">
        <w:rPr>
          <w:rFonts w:ascii="Times New Roman" w:hAnsi="Times New Roman" w:cs="Times New Roman"/>
          <w:bCs/>
          <w:color w:val="FFFFFF"/>
        </w:rPr>
        <w:t>VaR</w:t>
      </w:r>
      <w:proofErr w:type="spellEnd"/>
      <w:r w:rsidRPr="001F5232">
        <w:rPr>
          <w:rFonts w:ascii="Times New Roman" w:hAnsi="Times New Roman" w:cs="Times New Roman"/>
          <w:bCs/>
          <w:color w:val="FFFFFF"/>
        </w:rPr>
        <w:t xml:space="preserve"> to 14.41% at an expected return of 2.29%, just under the required 15%. The constraint binds exactly at α=15.30%, and the 100% strike is a close runner-up.</w:t>
      </w:r>
    </w:p>
    <w:p w:rsidR="00FD7421" w:rsidRPr="001F5232" w:rsidRDefault="00FD7421" w:rsidP="00FD7421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In euro terms that is EUR 8,450 in the stock and EUR 1,550 in one-year puts struck at EUR 1,267, leaving 0.59pp of buffer under the ceiling. A risk manager sizes below a </w:t>
      </w:r>
      <w:proofErr w:type="spellStart"/>
      <w:r w:rsidRPr="001F5232">
        <w:rPr>
          <w:rFonts w:ascii="Times New Roman" w:hAnsi="Times New Roman" w:cs="Times New Roman"/>
          <w:color w:val="111111"/>
        </w:rPr>
        <w:t>VaR</w:t>
      </w:r>
      <w:proofErr w:type="spellEnd"/>
      <w:r w:rsidRPr="001F5232">
        <w:rPr>
          <w:rFonts w:ascii="Times New Roman" w:hAnsi="Times New Roman" w:cs="Times New Roman"/>
          <w:color w:val="111111"/>
        </w:rPr>
        <w:t xml:space="preserve"> limit rather than exactly on it, and here the buffer costs nothing in expected return.</w:t>
      </w:r>
    </w:p>
    <w:p w:rsidR="00FD7421" w:rsidRPr="001F5232" w:rsidRDefault="00FD7421" w:rsidP="00FD7421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BF2430" wp14:editId="65DC3E38">
            <wp:extent cx="2684145" cy="1595977"/>
            <wp:effectExtent l="0" t="0" r="0" b="4445"/>
            <wp:docPr id="7" name="Picture 7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of different colored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6681" cy="16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21" w:rsidRPr="001F5232" w:rsidRDefault="00FD7421" w:rsidP="00FD7421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7: 95% </w:t>
      </w:r>
      <w:proofErr w:type="spellStart"/>
      <w:r w:rsidRPr="001F5232">
        <w:rPr>
          <w:rFonts w:ascii="Times New Roman" w:hAnsi="Times New Roman" w:cs="Times New Roman"/>
          <w:i/>
          <w:color w:val="666666"/>
        </w:rPr>
        <w:t>VaR</w:t>
      </w:r>
      <w:proofErr w:type="spellEnd"/>
      <w:r w:rsidRPr="001F5232">
        <w:rPr>
          <w:rFonts w:ascii="Times New Roman" w:hAnsi="Times New Roman" w:cs="Times New Roman"/>
          <w:i/>
          <w:color w:val="666666"/>
        </w:rPr>
        <w:t xml:space="preserve"> vs α for all four strikes, with the 15% limit, binding point and α*=15.50% marked.</w:t>
      </w:r>
    </w:p>
    <w:p w:rsidR="00FD7421" w:rsidRPr="001F5232" w:rsidRDefault="00FD7421" w:rsidP="00FD7421">
      <w:pPr>
        <w:spacing w:after="4" w:line="216" w:lineRule="auto"/>
        <w:rPr>
          <w:rFonts w:ascii="Times New Roman" w:hAnsi="Times New Roman" w:cs="Times New Roman"/>
        </w:rPr>
      </w:pPr>
    </w:p>
    <w:p w:rsidR="00FD7421" w:rsidRDefault="00FD7421"/>
    <w:sectPr w:rsidR="00FD7421" w:rsidSect="00FD7421">
      <w:type w:val="continuous"/>
      <w:pgSz w:w="23820" w:h="16840" w:orient="landscape"/>
      <w:pgMar w:top="567" w:right="567" w:bottom="567" w:left="567" w:header="720" w:footer="720" w:gutter="0"/>
      <w:cols w:num="4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421" w:rsidRDefault="00FD74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421" w:rsidRDefault="00FD74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421" w:rsidRDefault="00FD742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421" w:rsidRDefault="00FD74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421" w:rsidRDefault="00FD74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421" w:rsidRDefault="00FD74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21"/>
    <w:rsid w:val="008828E0"/>
    <w:rsid w:val="00FD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5D1A9C9-746E-714E-876D-54782277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421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4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D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4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D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2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D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2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D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2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D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2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D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2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D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2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D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2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D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D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7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2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D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7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2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D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7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2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D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7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D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7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42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D7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42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2.png"/><Relationship Id="rId15" Type="http://schemas.openxmlformats.org/officeDocument/2006/relationships/image" Target="media/image6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1381</Words>
  <Characters>6893</Characters>
  <Application>Microsoft Office Word</Application>
  <DocSecurity>0</DocSecurity>
  <Lines>328</Lines>
  <Paragraphs>275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daanish muzaffar</dc:creator>
  <cp:keywords/>
  <dc:description/>
  <cp:lastModifiedBy>daanish muzaffar</cp:lastModifiedBy>
  <cp:revision>1</cp:revision>
  <dcterms:created xsi:type="dcterms:W3CDTF">2026-07-04T21:14:00Z</dcterms:created>
  <dcterms:modified xsi:type="dcterms:W3CDTF">2026-07-04T21:17:00Z</dcterms:modified>
</cp:coreProperties>
</file>