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E40AF"/>
          <w:sz w:val="17"/>
        </w:rPr>
        <w:t>DARUKAA.EARTH AI BIODIVERSITY INTELLIGENCE CHALLENGE</w:t>
      </w:r>
    </w:p>
    <w:p>
      <w:pPr>
        <w:spacing w:after="40"/>
      </w:pPr>
      <w:r>
        <w:rPr>
          <w:rFonts w:ascii="Arial" w:hAnsi="Arial"/>
          <w:b/>
          <w:color w:val="0F172A"/>
          <w:sz w:val="34"/>
        </w:rPr>
        <w:t>EcoSynapse AI: Evidence-Grounded Ecological Intelligence Platform</w:t>
      </w:r>
    </w:p>
    <w:p>
      <w:pPr>
        <w:spacing w:after="240"/>
      </w:pPr>
      <w:r>
        <w:rPr>
          <w:rFonts w:ascii="Arial" w:hAnsi="Arial"/>
          <w:b/>
          <w:color w:val="2563EB"/>
          <w:sz w:val="20"/>
        </w:rPr>
        <w:t>Official Engineering Submission &amp; Technical Specification Document</w:t>
      </w:r>
    </w:p>
    <w:p>
      <w:pPr>
        <w:spacing w:before="160" w:after="80"/>
      </w:pPr>
      <w:r>
        <w:rPr>
          <w:rFonts w:ascii="Arial" w:hAnsi="Arial"/>
          <w:b/>
          <w:color w:val="1E40AF"/>
          <w:sz w:val="24"/>
        </w:rPr>
        <w:t>1. Project Submission Links</w:t>
      </w:r>
    </w:p>
    <w:p>
      <w:pPr>
        <w:pStyle w:val="ListBullet"/>
        <w:spacing w:after="40"/>
      </w:pPr>
      <w:r>
        <w:rPr>
          <w:b/>
          <w:sz w:val="19"/>
        </w:rPr>
        <w:t>GitHub Repository:</w:t>
      </w:r>
      <w:r>
        <w:rPr>
          <w:color w:val="2563EB"/>
          <w:sz w:val="19"/>
        </w:rPr>
        <w:t xml:space="preserve"> https://github.com/daanialmirza5/EcoSynapse-AI</w:t>
      </w:r>
    </w:p>
    <w:p>
      <w:pPr>
        <w:pStyle w:val="ListBullet"/>
        <w:spacing w:after="40"/>
      </w:pPr>
      <w:r>
        <w:rPr>
          <w:b/>
          <w:sz w:val="19"/>
        </w:rPr>
        <w:t>Live Cloud Demo (Frontend):</w:t>
      </w:r>
      <w:r>
        <w:rPr>
          <w:color w:val="2563EB"/>
          <w:sz w:val="19"/>
        </w:rPr>
        <w:t xml:space="preserve"> https://ecosynapse-ai-1.onrender.com</w:t>
      </w:r>
    </w:p>
    <w:p>
      <w:pPr>
        <w:pStyle w:val="ListBullet"/>
        <w:spacing w:after="40"/>
      </w:pPr>
      <w:r>
        <w:rPr>
          <w:b/>
          <w:sz w:val="19"/>
        </w:rPr>
        <w:t>Backend REST API Service:</w:t>
      </w:r>
      <w:r>
        <w:rPr>
          <w:color w:val="2563EB"/>
          <w:sz w:val="19"/>
        </w:rPr>
        <w:t xml:space="preserve"> https://ecosynapse-ai.onrender.com</w:t>
      </w:r>
    </w:p>
    <w:p>
      <w:pPr>
        <w:pStyle w:val="ListBullet"/>
        <w:spacing w:after="40"/>
      </w:pPr>
      <w:r>
        <w:rPr>
          <w:b/>
          <w:sz w:val="19"/>
        </w:rPr>
        <w:t>Interactive API Documentation (Swagger / OpenAPI):</w:t>
      </w:r>
      <w:r>
        <w:rPr>
          <w:color w:val="2563EB"/>
          <w:sz w:val="19"/>
        </w:rPr>
        <w:t xml:space="preserve"> https://ecosynapse-ai.onrender.com/docs</w:t>
      </w:r>
    </w:p>
    <w:tbl>
      <w:tblPr>
        <w:tblW w:type="auto" w:w="0"/>
        <w:jc w:val="center"/>
        <w:tblLook w:firstColumn="1" w:firstRow="1" w:lastColumn="0" w:lastRow="0" w:noHBand="0" w:noVBand="1" w:val="04A0"/>
      </w:tblPr>
      <w:tblGrid>
        <w:gridCol w:w="10037"/>
      </w:tblGrid>
      <w:tr>
        <w:tc>
          <w:tcPr>
            <w:tcW w:type="dxa" w:w="9936"/>
            <w:shd w:fill="EFF6FF"/>
            <w:tcMar>
              <w:top w:w="120" w:type="dxa"/>
              <w:bottom w:w="120" w:type="dxa"/>
              <w:left w:w="180" w:type="dxa"/>
              <w:right w:w="180" w:type="dxa"/>
            </w:tcMar>
          </w:tcPr>
          <w:p>
            <w:r>
              <w:rPr>
                <w:b/>
                <w:color w:val="1E40AF"/>
                <w:sz w:val="18"/>
              </w:rPr>
              <w:t>Repository Access Notes:</w:t>
              <w:br/>
            </w:r>
            <w:r>
              <w:rPr>
                <w:color w:val="475569"/>
                <w:sz w:val="17"/>
              </w:rPr>
              <w:t>The GitHub repository is hosted at daanialmirza5/EcoSynapse-AI (branch: main). Evaluators can review the complete Git commit history, automated CI logs, verified test suites (79 passing tests), and reproduction scripts.</w:t>
            </w:r>
          </w:p>
        </w:tc>
      </w:tr>
    </w:tbl>
    <w:p>
      <w:pPr>
        <w:spacing w:before="240" w:after="80"/>
      </w:pPr>
      <w:r>
        <w:rPr>
          <w:rFonts w:ascii="Arial" w:hAnsi="Arial"/>
          <w:b/>
          <w:color w:val="1E40AF"/>
          <w:sz w:val="24"/>
        </w:rPr>
        <w:t>2. System Architecture &amp; Information Pipeline</w:t>
      </w:r>
    </w:p>
    <w:p>
      <w:pPr>
        <w:spacing w:after="120"/>
      </w:pPr>
      <w:r>
        <w:rPr>
          <w:sz w:val="19"/>
        </w:rPr>
        <w:t>EcoSynapse AI operates on an uncompromising design principle: an LLM is NOT the reasoning engine. Traditional generative AI chatbots suffer from severe hallucinations when handling delicate ecological metrics, prescribing unconstrained interventions with fabricated citations. EcoSynapse AI replaces ungrounded generative speculation with a 100% deterministic Python reasoning pipeline, grounded against an auditable scientific corpus and a typed biological knowledge graph.</w:t>
      </w:r>
    </w:p>
    <w:p>
      <w:pPr>
        <w:spacing w:before="80" w:after="120"/>
        <w:jc w:val="center"/>
      </w:pPr>
      <w:r>
        <w:drawing>
          <wp:inline xmlns:a="http://schemas.openxmlformats.org/drawingml/2006/main" xmlns:pic="http://schemas.openxmlformats.org/drawingml/2006/picture">
            <wp:extent cx="6217920" cy="3470467"/>
            <wp:docPr id="1" name="Picture 1"/>
            <wp:cNvGraphicFramePr>
              <a:graphicFrameLocks noChangeAspect="1"/>
            </wp:cNvGraphicFramePr>
            <a:graphic>
              <a:graphicData uri="http://schemas.openxmlformats.org/drawingml/2006/picture">
                <pic:pic>
                  <pic:nvPicPr>
                    <pic:cNvPr id="0" name="architecture.jpg"/>
                    <pic:cNvPicPr/>
                  </pic:nvPicPr>
                  <pic:blipFill>
                    <a:blip r:embed="rId9"/>
                    <a:stretch>
                      <a:fillRect/>
                    </a:stretch>
                  </pic:blipFill>
                  <pic:spPr>
                    <a:xfrm>
                      <a:off x="0" y="0"/>
                      <a:ext cx="6217920" cy="3470467"/>
                    </a:xfrm>
                    <a:prstGeom prst="rect"/>
                  </pic:spPr>
                </pic:pic>
              </a:graphicData>
            </a:graphic>
          </wp:inline>
        </w:drawing>
      </w:r>
    </w:p>
    <w:p>
      <w:pPr>
        <w:spacing w:after="60"/>
      </w:pPr>
      <w:r>
        <w:rPr>
          <w:sz w:val="19"/>
        </w:rPr>
        <w:t>The information pipeline processes ecological observations through five connected layers:</w:t>
      </w:r>
    </w:p>
    <w:p>
      <w:pPr>
        <w:spacing w:after="40"/>
        <w:ind w:left="288"/>
      </w:pPr>
      <w:r>
        <w:rPr>
          <w:b/>
          <w:color w:val="1E40AF"/>
          <w:sz w:val="18"/>
        </w:rPr>
        <w:t>1. User Input &amp; Extraction:</w:t>
      </w:r>
      <w:r>
        <w:rPr>
          <w:sz w:val="18"/>
        </w:rPr>
        <w:t xml:space="preserve"> Natural language text or structured JSON is parsed by a deterministic regex extractor (app/conversations/extraction.py). Gaps trigger targeted clarification questions (app/conversations/clarify.py).</w:t>
      </w:r>
    </w:p>
    <w:p>
      <w:pPr>
        <w:spacing w:after="40"/>
        <w:ind w:left="288"/>
      </w:pPr>
      <w:r>
        <w:rPr>
          <w:b/>
          <w:color w:val="1E40AF"/>
          <w:sz w:val="18"/>
        </w:rPr>
        <w:t>2. Hybrid Scientific Retrieval &amp; Knowledge Graph:</w:t>
      </w:r>
      <w:r>
        <w:rPr>
          <w:sz w:val="18"/>
        </w:rPr>
        <w:t xml:space="preserve"> Cosine similarity over embeddings is combined with BM25 lexical keyword search and 1-hop neighborhood expansion across a 23-node, 22-edge typed NetworkX MultiDiGraph.</w:t>
      </w:r>
    </w:p>
    <w:p>
      <w:pPr>
        <w:spacing w:after="40"/>
        <w:ind w:left="288"/>
      </w:pPr>
      <w:r>
        <w:rPr>
          <w:b/>
          <w:color w:val="1E40AF"/>
          <w:sz w:val="18"/>
        </w:rPr>
        <w:t>3. 10-Step Deterministic Reasoning &amp; Constraint Engine:</w:t>
      </w:r>
      <w:r>
        <w:rPr>
          <w:sz w:val="18"/>
        </w:rPr>
        <w:t xml:space="preserve"> Identifies active concerns, maps causal pathways, and applies strict physical feasibility rules (e.g., rainfall &lt; 500mm limits woody vegetation).</w:t>
      </w:r>
    </w:p>
    <w:p>
      <w:pPr>
        <w:spacing w:after="40"/>
        <w:ind w:left="288"/>
      </w:pPr>
      <w:r>
        <w:rPr>
          <w:b/>
          <w:color w:val="1E40AF"/>
          <w:sz w:val="18"/>
        </w:rPr>
        <w:t>4. Scientific Claim Verification:</w:t>
      </w:r>
      <w:r>
        <w:rPr>
          <w:sz w:val="18"/>
        </w:rPr>
        <w:t xml:space="preserve"> Validates every quantitative assertion against raw source excerpts, checking exact numeric match before rating evidence strength.</w:t>
      </w:r>
    </w:p>
    <w:p>
      <w:pPr>
        <w:spacing w:after="40"/>
        <w:ind w:left="288"/>
      </w:pPr>
      <w:r>
        <w:rPr>
          <w:b/>
          <w:color w:val="1E40AF"/>
          <w:sz w:val="18"/>
        </w:rPr>
        <w:t>5. Structured Output &amp; Monitoring:</w:t>
      </w:r>
      <w:r>
        <w:rPr>
          <w:sz w:val="18"/>
        </w:rPr>
        <w:t xml:space="preserve"> Synthesizes actionable recommendations tagged with time horizons, confidence scores, and metric-specific monitoring cadences (no fabricated baselines).</w:t>
      </w:r>
    </w:p>
    <w:p>
      <w:r>
        <w:br w:type="page"/>
      </w:r>
    </w:p>
    <w:p>
      <w:pPr>
        <w:spacing w:before="160" w:after="80"/>
      </w:pPr>
      <w:r>
        <w:rPr>
          <w:rFonts w:ascii="Arial" w:hAnsi="Arial"/>
          <w:b/>
          <w:color w:val="1E40AF"/>
          <w:sz w:val="24"/>
        </w:rPr>
        <w:t>3. Core Ecological Intelligence Domains</w:t>
      </w:r>
    </w:p>
    <w:p>
      <w:pPr>
        <w:spacing w:after="120"/>
      </w:pPr>
      <w:r>
        <w:rPr>
          <w:sz w:val="19"/>
        </w:rPr>
        <w:t>EcoSynapse AI models interconnected biological relationships across all five mandatory challenge domains without relying on ungrounded generative speculation:</w:t>
      </w:r>
    </w:p>
    <w:tbl>
      <w:tblPr>
        <w:tblW w:type="auto" w:w="0"/>
        <w:jc w:val="center"/>
        <w:tblLook w:firstColumn="1" w:firstRow="1" w:lastColumn="0" w:lastRow="0" w:noHBand="0" w:noVBand="1" w:val="04A0"/>
      </w:tblPr>
      <w:tblGrid>
        <w:gridCol w:w="3346"/>
        <w:gridCol w:w="3346"/>
        <w:gridCol w:w="3346"/>
      </w:tblGrid>
      <w:tr>
        <w:tc>
          <w:tcPr>
            <w:tcW w:type="dxa" w:w="3346"/>
            <w:shd w:fill="F0F7FF"/>
            <w:tcMar>
              <w:top w:w="60" w:type="dxa"/>
              <w:bottom w:w="60" w:type="dxa"/>
              <w:left w:w="100" w:type="dxa"/>
              <w:right w:w="100" w:type="dxa"/>
            </w:tcMar>
          </w:tcPr>
          <w:p>
            <w:pPr>
              <w:spacing w:before="40" w:after="40"/>
            </w:pPr>
            <w:r>
              <w:rPr>
                <w:rFonts w:ascii="Arial" w:hAnsi="Arial"/>
                <w:b/>
                <w:color w:val="1E40AF"/>
                <w:sz w:val="17"/>
              </w:rPr>
              <w:t>Domain</w:t>
            </w:r>
          </w:p>
        </w:tc>
        <w:tc>
          <w:tcPr>
            <w:tcW w:type="dxa" w:w="3346"/>
            <w:shd w:fill="F0F7FF"/>
            <w:tcMar>
              <w:top w:w="60" w:type="dxa"/>
              <w:bottom w:w="60" w:type="dxa"/>
              <w:left w:w="100" w:type="dxa"/>
              <w:right w:w="100" w:type="dxa"/>
            </w:tcMar>
          </w:tcPr>
          <w:p>
            <w:pPr>
              <w:spacing w:before="40" w:after="40"/>
            </w:pPr>
            <w:r>
              <w:rPr>
                <w:rFonts w:ascii="Arial" w:hAnsi="Arial"/>
                <w:b/>
                <w:color w:val="1E40AF"/>
                <w:sz w:val="17"/>
              </w:rPr>
              <w:t>Modeled Variables &amp; Parameters</w:t>
            </w:r>
          </w:p>
        </w:tc>
        <w:tc>
          <w:tcPr>
            <w:tcW w:type="dxa" w:w="3346"/>
            <w:shd w:fill="F0F7FF"/>
            <w:tcMar>
              <w:top w:w="60" w:type="dxa"/>
              <w:bottom w:w="60" w:type="dxa"/>
              <w:left w:w="100" w:type="dxa"/>
              <w:right w:w="100" w:type="dxa"/>
            </w:tcMar>
          </w:tcPr>
          <w:p>
            <w:pPr>
              <w:spacing w:before="40" w:after="40"/>
            </w:pPr>
            <w:r>
              <w:rPr>
                <w:rFonts w:ascii="Arial" w:hAnsi="Arial"/>
                <w:b/>
                <w:color w:val="1E40AF"/>
                <w:sz w:val="17"/>
              </w:rPr>
              <w:t>Ecological Significance &amp; Mechanisms</w:t>
            </w:r>
          </w:p>
        </w:tc>
      </w:tr>
      <w:tr>
        <w:tc>
          <w:tcPr>
            <w:tcW w:type="dxa" w:w="3346"/>
            <w:shd w:fill="F8FAFC"/>
            <w:tcMar>
              <w:top w:w="60" w:type="dxa"/>
              <w:bottom w:w="60" w:type="dxa"/>
              <w:left w:w="100" w:type="dxa"/>
              <w:right w:w="100" w:type="dxa"/>
            </w:tcMar>
          </w:tcPr>
          <w:p>
            <w:pPr>
              <w:spacing w:before="40" w:after="40"/>
            </w:pPr>
            <w:r>
              <w:rPr>
                <w:rFonts w:ascii="Arial" w:hAnsi="Arial"/>
                <w:b/>
                <w:color w:val="0F172A"/>
                <w:sz w:val="17"/>
              </w:rPr>
              <w:t>1. Soil Health</w:t>
            </w:r>
          </w:p>
        </w:tc>
        <w:tc>
          <w:tcPr>
            <w:tcW w:type="dxa" w:w="3346"/>
            <w:shd w:fill="F8FAFC"/>
            <w:tcMar>
              <w:top w:w="60" w:type="dxa"/>
              <w:bottom w:w="60" w:type="dxa"/>
              <w:left w:w="100" w:type="dxa"/>
              <w:right w:w="100" w:type="dxa"/>
            </w:tcMar>
          </w:tcPr>
          <w:p>
            <w:pPr>
              <w:spacing w:before="40" w:after="40"/>
            </w:pPr>
            <w:r>
              <w:rPr>
                <w:rFonts w:ascii="Arial" w:hAnsi="Arial"/>
                <w:color w:val="0F172A"/>
                <w:sz w:val="17"/>
              </w:rPr>
              <w:t>pH, Organic Matter (SOM %), Bulk Density (g/cm³), N-P-K, Microbial Activity</w:t>
            </w:r>
          </w:p>
        </w:tc>
        <w:tc>
          <w:tcPr>
            <w:tcW w:type="dxa" w:w="3346"/>
            <w:shd w:fill="F8FAFC"/>
            <w:tcMar>
              <w:top w:w="60" w:type="dxa"/>
              <w:bottom w:w="60" w:type="dxa"/>
              <w:left w:w="100" w:type="dxa"/>
              <w:right w:w="100" w:type="dxa"/>
            </w:tcMar>
          </w:tcPr>
          <w:p>
            <w:pPr>
              <w:spacing w:before="40" w:after="40"/>
            </w:pPr>
            <w:r>
              <w:rPr>
                <w:rFonts w:ascii="Arial" w:hAnsi="Arial"/>
                <w:color w:val="0F172A"/>
                <w:sz w:val="17"/>
              </w:rPr>
              <w:t>Regulates nutrient availability, moisture retention, and structural stability against erosion.</w:t>
            </w:r>
          </w:p>
        </w:tc>
      </w:tr>
      <w:tr>
        <w:tc>
          <w:tcPr>
            <w:tcW w:type="dxa" w:w="3346"/>
            <w:tcMar>
              <w:top w:w="60" w:type="dxa"/>
              <w:bottom w:w="60" w:type="dxa"/>
              <w:left w:w="100" w:type="dxa"/>
              <w:right w:w="100" w:type="dxa"/>
            </w:tcMar>
          </w:tcPr>
          <w:p>
            <w:pPr>
              <w:spacing w:before="40" w:after="40"/>
            </w:pPr>
            <w:r>
              <w:rPr>
                <w:rFonts w:ascii="Arial" w:hAnsi="Arial"/>
                <w:b/>
                <w:color w:val="0F172A"/>
                <w:sz w:val="17"/>
              </w:rPr>
              <w:t>2. Water Quality</w:t>
            </w:r>
          </w:p>
        </w:tc>
        <w:tc>
          <w:tcPr>
            <w:tcW w:type="dxa" w:w="3346"/>
            <w:tcMar>
              <w:top w:w="60" w:type="dxa"/>
              <w:bottom w:w="60" w:type="dxa"/>
              <w:left w:w="100" w:type="dxa"/>
              <w:right w:w="100" w:type="dxa"/>
            </w:tcMar>
          </w:tcPr>
          <w:p>
            <w:pPr>
              <w:spacing w:before="40" w:after="40"/>
            </w:pPr>
            <w:r>
              <w:rPr>
                <w:rFonts w:ascii="Arial" w:hAnsi="Arial"/>
                <w:color w:val="0F172A"/>
                <w:sz w:val="17"/>
              </w:rPr>
              <w:t>Dissolved Oxygen (DO mg/L), Turbidity (NTU), Nitrate (mg/L), pH, Flow Velocity</w:t>
            </w:r>
          </w:p>
        </w:tc>
        <w:tc>
          <w:tcPr>
            <w:tcW w:type="dxa" w:w="3346"/>
            <w:tcMar>
              <w:top w:w="60" w:type="dxa"/>
              <w:bottom w:w="60" w:type="dxa"/>
              <w:left w:w="100" w:type="dxa"/>
              <w:right w:w="100" w:type="dxa"/>
            </w:tcMar>
          </w:tcPr>
          <w:p>
            <w:pPr>
              <w:spacing w:before="40" w:after="40"/>
            </w:pPr>
            <w:r>
              <w:rPr>
                <w:rFonts w:ascii="Arial" w:hAnsi="Arial"/>
                <w:color w:val="0F172A"/>
                <w:sz w:val="17"/>
              </w:rPr>
              <w:t>Drives aquatic biodiversity, bioindicator health (ephemeroptera), and eutrophication risk.</w:t>
            </w:r>
          </w:p>
        </w:tc>
      </w:tr>
      <w:tr>
        <w:tc>
          <w:tcPr>
            <w:tcW w:type="dxa" w:w="3346"/>
            <w:shd w:fill="F8FAFC"/>
            <w:tcMar>
              <w:top w:w="60" w:type="dxa"/>
              <w:bottom w:w="60" w:type="dxa"/>
              <w:left w:w="100" w:type="dxa"/>
              <w:right w:w="100" w:type="dxa"/>
            </w:tcMar>
          </w:tcPr>
          <w:p>
            <w:pPr>
              <w:spacing w:before="40" w:after="40"/>
            </w:pPr>
            <w:r>
              <w:rPr>
                <w:rFonts w:ascii="Arial" w:hAnsi="Arial"/>
                <w:b/>
                <w:color w:val="0F172A"/>
                <w:sz w:val="17"/>
              </w:rPr>
              <w:t>3. Forest &amp; Vegetation</w:t>
            </w:r>
          </w:p>
        </w:tc>
        <w:tc>
          <w:tcPr>
            <w:tcW w:type="dxa" w:w="3346"/>
            <w:shd w:fill="F8FAFC"/>
            <w:tcMar>
              <w:top w:w="60" w:type="dxa"/>
              <w:bottom w:w="60" w:type="dxa"/>
              <w:left w:w="100" w:type="dxa"/>
              <w:right w:w="100" w:type="dxa"/>
            </w:tcMar>
          </w:tcPr>
          <w:p>
            <w:pPr>
              <w:spacing w:before="40" w:after="40"/>
            </w:pPr>
            <w:r>
              <w:rPr>
                <w:rFonts w:ascii="Arial" w:hAnsi="Arial"/>
                <w:color w:val="0F172A"/>
                <w:sz w:val="17"/>
              </w:rPr>
              <w:t>Canopy Cover (%), Native vs. Invasive Ratio, Basal Area (m²/ha), DBH Distribution</w:t>
            </w:r>
          </w:p>
        </w:tc>
        <w:tc>
          <w:tcPr>
            <w:tcW w:type="dxa" w:w="3346"/>
            <w:shd w:fill="F8FAFC"/>
            <w:tcMar>
              <w:top w:w="60" w:type="dxa"/>
              <w:bottom w:w="60" w:type="dxa"/>
              <w:left w:w="100" w:type="dxa"/>
              <w:right w:w="100" w:type="dxa"/>
            </w:tcMar>
          </w:tcPr>
          <w:p>
            <w:pPr>
              <w:spacing w:before="40" w:after="40"/>
            </w:pPr>
            <w:r>
              <w:rPr>
                <w:rFonts w:ascii="Arial" w:hAnsi="Arial"/>
                <w:color w:val="0F172A"/>
                <w:sz w:val="17"/>
              </w:rPr>
              <w:t>Establishes multi-tier vertical strata, carbon sequestration, and seed bank dynamics.</w:t>
            </w:r>
          </w:p>
        </w:tc>
      </w:tr>
      <w:tr>
        <w:tc>
          <w:tcPr>
            <w:tcW w:type="dxa" w:w="3346"/>
            <w:tcMar>
              <w:top w:w="60" w:type="dxa"/>
              <w:bottom w:w="60" w:type="dxa"/>
              <w:left w:w="100" w:type="dxa"/>
              <w:right w:w="100" w:type="dxa"/>
            </w:tcMar>
          </w:tcPr>
          <w:p>
            <w:pPr>
              <w:spacing w:before="40" w:after="40"/>
            </w:pPr>
            <w:r>
              <w:rPr>
                <w:rFonts w:ascii="Arial" w:hAnsi="Arial"/>
                <w:b/>
                <w:color w:val="0F172A"/>
                <w:sz w:val="17"/>
              </w:rPr>
              <w:t>4. Wildlife &amp; Fauna</w:t>
            </w:r>
          </w:p>
        </w:tc>
        <w:tc>
          <w:tcPr>
            <w:tcW w:type="dxa" w:w="3346"/>
            <w:tcMar>
              <w:top w:w="60" w:type="dxa"/>
              <w:bottom w:w="60" w:type="dxa"/>
              <w:left w:w="100" w:type="dxa"/>
              <w:right w:w="100" w:type="dxa"/>
            </w:tcMar>
          </w:tcPr>
          <w:p>
            <w:pPr>
              <w:spacing w:before="40" w:after="40"/>
            </w:pPr>
            <w:r>
              <w:rPr>
                <w:rFonts w:ascii="Arial" w:hAnsi="Arial"/>
                <w:color w:val="0F172A"/>
                <w:sz w:val="17"/>
              </w:rPr>
              <w:t>Shannon Diversity Index (H'), Indicator Species Richness, Functional Guilds</w:t>
            </w:r>
          </w:p>
        </w:tc>
        <w:tc>
          <w:tcPr>
            <w:tcW w:type="dxa" w:w="3346"/>
            <w:tcMar>
              <w:top w:w="60" w:type="dxa"/>
              <w:bottom w:w="60" w:type="dxa"/>
              <w:left w:w="100" w:type="dxa"/>
              <w:right w:w="100" w:type="dxa"/>
            </w:tcMar>
          </w:tcPr>
          <w:p>
            <w:pPr>
              <w:spacing w:before="40" w:after="40"/>
            </w:pPr>
            <w:r>
              <w:rPr>
                <w:rFonts w:ascii="Arial" w:hAnsi="Arial"/>
                <w:color w:val="0F172A"/>
                <w:sz w:val="17"/>
              </w:rPr>
              <w:t>Signals trophic web integrity, apex predator presence, and pollinator mutualisms.</w:t>
            </w:r>
          </w:p>
        </w:tc>
      </w:tr>
      <w:tr>
        <w:tc>
          <w:tcPr>
            <w:tcW w:type="dxa" w:w="3346"/>
            <w:shd w:fill="F8FAFC"/>
            <w:tcMar>
              <w:top w:w="60" w:type="dxa"/>
              <w:bottom w:w="60" w:type="dxa"/>
              <w:left w:w="100" w:type="dxa"/>
              <w:right w:w="100" w:type="dxa"/>
            </w:tcMar>
          </w:tcPr>
          <w:p>
            <w:pPr>
              <w:spacing w:before="40" w:after="40"/>
            </w:pPr>
            <w:r>
              <w:rPr>
                <w:rFonts w:ascii="Arial" w:hAnsi="Arial"/>
                <w:b/>
                <w:color w:val="0F172A"/>
                <w:sz w:val="17"/>
              </w:rPr>
              <w:t>5. Climate &amp; Atmosphere</w:t>
            </w:r>
          </w:p>
        </w:tc>
        <w:tc>
          <w:tcPr>
            <w:tcW w:type="dxa" w:w="3346"/>
            <w:shd w:fill="F8FAFC"/>
            <w:tcMar>
              <w:top w:w="60" w:type="dxa"/>
              <w:bottom w:w="60" w:type="dxa"/>
              <w:left w:w="100" w:type="dxa"/>
              <w:right w:w="100" w:type="dxa"/>
            </w:tcMar>
          </w:tcPr>
          <w:p>
            <w:pPr>
              <w:spacing w:before="40" w:after="40"/>
            </w:pPr>
            <w:r>
              <w:rPr>
                <w:rFonts w:ascii="Arial" w:hAnsi="Arial"/>
                <w:color w:val="0F172A"/>
                <w:sz w:val="17"/>
              </w:rPr>
              <w:t>Mean Annual Precipitation (MAP mm), Temp Extremes (°C), VPD (kPa), Albedo</w:t>
            </w:r>
          </w:p>
        </w:tc>
        <w:tc>
          <w:tcPr>
            <w:tcW w:type="dxa" w:w="3346"/>
            <w:shd w:fill="F8FAFC"/>
            <w:tcMar>
              <w:top w:w="60" w:type="dxa"/>
              <w:bottom w:w="60" w:type="dxa"/>
              <w:left w:w="100" w:type="dxa"/>
              <w:right w:w="100" w:type="dxa"/>
            </w:tcMar>
          </w:tcPr>
          <w:p>
            <w:pPr>
              <w:spacing w:before="40" w:after="40"/>
            </w:pPr>
            <w:r>
              <w:rPr>
                <w:rFonts w:ascii="Arial" w:hAnsi="Arial"/>
                <w:color w:val="0F172A"/>
                <w:sz w:val="17"/>
              </w:rPr>
              <w:t>Imposes biophysical boundary limits on plant physiology, drought resilience, and fire regimes.</w:t>
            </w:r>
          </w:p>
        </w:tc>
      </w:tr>
    </w:tbl>
    <w:p>
      <w:pPr>
        <w:spacing w:before="240" w:after="80"/>
      </w:pPr>
      <w:r>
        <w:rPr>
          <w:rFonts w:ascii="Arial" w:hAnsi="Arial"/>
          <w:b/>
          <w:color w:val="1E40AF"/>
          <w:sz w:val="24"/>
        </w:rPr>
        <w:t>4. Key Technical Differentiators &amp; Competitive Benchmarks</w:t>
      </w:r>
    </w:p>
    <w:tbl>
      <w:tblPr>
        <w:tblW w:type="auto" w:w="0"/>
        <w:jc w:val="center"/>
        <w:tblLook w:firstColumn="1" w:firstRow="1" w:lastColumn="0" w:lastRow="0" w:noHBand="0" w:noVBand="1" w:val="04A0"/>
      </w:tblPr>
      <w:tblGrid>
        <w:gridCol w:w="3346"/>
        <w:gridCol w:w="3346"/>
        <w:gridCol w:w="3346"/>
      </w:tblGrid>
      <w:tr>
        <w:tc>
          <w:tcPr>
            <w:tcW w:type="dxa" w:w="3346"/>
            <w:shd w:fill="F0F7FF"/>
            <w:tcMar>
              <w:top w:w="60" w:type="dxa"/>
              <w:bottom w:w="60" w:type="dxa"/>
              <w:left w:w="100" w:type="dxa"/>
              <w:right w:w="100" w:type="dxa"/>
            </w:tcMar>
          </w:tcPr>
          <w:p>
            <w:pPr>
              <w:spacing w:before="40" w:after="40"/>
            </w:pPr>
            <w:r>
              <w:rPr>
                <w:rFonts w:ascii="Arial" w:hAnsi="Arial"/>
                <w:b/>
                <w:color w:val="1E40AF"/>
                <w:sz w:val="16"/>
              </w:rPr>
              <w:t>Evaluation Dimension</w:t>
            </w:r>
          </w:p>
        </w:tc>
        <w:tc>
          <w:tcPr>
            <w:tcW w:type="dxa" w:w="3346"/>
            <w:shd w:fill="F0F7FF"/>
            <w:tcMar>
              <w:top w:w="60" w:type="dxa"/>
              <w:bottom w:w="60" w:type="dxa"/>
              <w:left w:w="100" w:type="dxa"/>
              <w:right w:w="100" w:type="dxa"/>
            </w:tcMar>
          </w:tcPr>
          <w:p>
            <w:pPr>
              <w:spacing w:before="40" w:after="40"/>
            </w:pPr>
            <w:r>
              <w:rPr>
                <w:rFonts w:ascii="Arial" w:hAnsi="Arial"/>
                <w:b/>
                <w:color w:val="1E40AF"/>
                <w:sz w:val="16"/>
              </w:rPr>
              <w:t>Standard LLM / Chatbots</w:t>
            </w:r>
          </w:p>
        </w:tc>
        <w:tc>
          <w:tcPr>
            <w:tcW w:type="dxa" w:w="3346"/>
            <w:shd w:fill="F0F7FF"/>
            <w:tcMar>
              <w:top w:w="60" w:type="dxa"/>
              <w:bottom w:w="60" w:type="dxa"/>
              <w:left w:w="100" w:type="dxa"/>
              <w:right w:w="100" w:type="dxa"/>
            </w:tcMar>
          </w:tcPr>
          <w:p>
            <w:pPr>
              <w:spacing w:before="40" w:after="40"/>
            </w:pPr>
            <w:r>
              <w:rPr>
                <w:rFonts w:ascii="Arial" w:hAnsi="Arial"/>
                <w:b/>
                <w:color w:val="1E40AF"/>
                <w:sz w:val="16"/>
              </w:rPr>
              <w:t>EcoSynapse AI Platform</w:t>
            </w:r>
          </w:p>
        </w:tc>
      </w:tr>
      <w:tr>
        <w:tc>
          <w:tcPr>
            <w:tcW w:type="dxa" w:w="3346"/>
            <w:shd w:fill="F8FAFC"/>
            <w:tcMar>
              <w:top w:w="60" w:type="dxa"/>
              <w:bottom w:w="60" w:type="dxa"/>
              <w:left w:w="100" w:type="dxa"/>
              <w:right w:w="100" w:type="dxa"/>
            </w:tcMar>
          </w:tcPr>
          <w:p>
            <w:pPr>
              <w:spacing w:before="40" w:after="40"/>
            </w:pPr>
            <w:r>
              <w:rPr>
                <w:rFonts w:ascii="Arial" w:hAnsi="Arial"/>
                <w:b/>
                <w:sz w:val="16"/>
              </w:rPr>
              <w:t>Reasoning Engine</w:t>
            </w:r>
          </w:p>
        </w:tc>
        <w:tc>
          <w:tcPr>
            <w:tcW w:type="dxa" w:w="3346"/>
            <w:shd w:fill="F8FAFC"/>
            <w:tcMar>
              <w:top w:w="60" w:type="dxa"/>
              <w:bottom w:w="60" w:type="dxa"/>
              <w:left w:w="100" w:type="dxa"/>
              <w:right w:w="100" w:type="dxa"/>
            </w:tcMar>
          </w:tcPr>
          <w:p>
            <w:pPr>
              <w:spacing w:before="40" w:after="40"/>
            </w:pPr>
            <w:r>
              <w:rPr>
                <w:rFonts w:ascii="Arial" w:hAnsi="Arial"/>
                <w:color w:val="475569"/>
                <w:sz w:val="16"/>
              </w:rPr>
              <w:t>Probabilistic next-token prediction (high hallucination rate on numbers)</w:t>
            </w:r>
          </w:p>
        </w:tc>
        <w:tc>
          <w:tcPr>
            <w:tcW w:type="dxa" w:w="3346"/>
            <w:shd w:fill="F8FAFC"/>
            <w:tcMar>
              <w:top w:w="60" w:type="dxa"/>
              <w:bottom w:w="60" w:type="dxa"/>
              <w:left w:w="100" w:type="dxa"/>
              <w:right w:w="100" w:type="dxa"/>
            </w:tcMar>
          </w:tcPr>
          <w:p>
            <w:pPr>
              <w:spacing w:before="40" w:after="40"/>
            </w:pPr>
            <w:r>
              <w:rPr>
                <w:rFonts w:ascii="Arial" w:hAnsi="Arial"/>
                <w:b/>
                <w:color w:val="1E40AF"/>
                <w:sz w:val="16"/>
              </w:rPr>
              <w:t>100% Deterministic Python Pipeline (zero metric hallucination)</w:t>
            </w:r>
          </w:p>
        </w:tc>
      </w:tr>
      <w:tr>
        <w:tc>
          <w:tcPr>
            <w:tcW w:type="dxa" w:w="3346"/>
            <w:tcMar>
              <w:top w:w="60" w:type="dxa"/>
              <w:bottom w:w="60" w:type="dxa"/>
              <w:left w:w="100" w:type="dxa"/>
              <w:right w:w="100" w:type="dxa"/>
            </w:tcMar>
          </w:tcPr>
          <w:p>
            <w:pPr>
              <w:spacing w:before="40" w:after="40"/>
            </w:pPr>
            <w:r>
              <w:rPr>
                <w:rFonts w:ascii="Arial" w:hAnsi="Arial"/>
                <w:b/>
                <w:sz w:val="16"/>
              </w:rPr>
              <w:t>Knowledge Graph</w:t>
            </w:r>
          </w:p>
        </w:tc>
        <w:tc>
          <w:tcPr>
            <w:tcW w:type="dxa" w:w="3346"/>
            <w:tcMar>
              <w:top w:w="60" w:type="dxa"/>
              <w:bottom w:w="60" w:type="dxa"/>
              <w:left w:w="100" w:type="dxa"/>
              <w:right w:w="100" w:type="dxa"/>
            </w:tcMar>
          </w:tcPr>
          <w:p>
            <w:pPr>
              <w:spacing w:before="40" w:after="40"/>
            </w:pPr>
            <w:r>
              <w:rPr>
                <w:rFonts w:ascii="Arial" w:hAnsi="Arial"/>
                <w:color w:val="475569"/>
                <w:sz w:val="16"/>
              </w:rPr>
              <w:t>None or unstructured text embeddings only</w:t>
            </w:r>
          </w:p>
        </w:tc>
        <w:tc>
          <w:tcPr>
            <w:tcW w:type="dxa" w:w="3346"/>
            <w:tcMar>
              <w:top w:w="60" w:type="dxa"/>
              <w:bottom w:w="60" w:type="dxa"/>
              <w:left w:w="100" w:type="dxa"/>
              <w:right w:w="100" w:type="dxa"/>
            </w:tcMar>
          </w:tcPr>
          <w:p>
            <w:pPr>
              <w:spacing w:before="40" w:after="40"/>
            </w:pPr>
            <w:r>
              <w:rPr>
                <w:rFonts w:ascii="Arial" w:hAnsi="Arial"/>
                <w:b/>
                <w:color w:val="1E40AF"/>
                <w:sz w:val="16"/>
              </w:rPr>
              <w:t>23-node, 22-edge typed NetworkX MultiDiGraph for causal tracing</w:t>
            </w:r>
          </w:p>
        </w:tc>
      </w:tr>
      <w:tr>
        <w:tc>
          <w:tcPr>
            <w:tcW w:type="dxa" w:w="3346"/>
            <w:shd w:fill="F8FAFC"/>
            <w:tcMar>
              <w:top w:w="60" w:type="dxa"/>
              <w:bottom w:w="60" w:type="dxa"/>
              <w:left w:w="100" w:type="dxa"/>
              <w:right w:w="100" w:type="dxa"/>
            </w:tcMar>
          </w:tcPr>
          <w:p>
            <w:pPr>
              <w:spacing w:before="40" w:after="40"/>
            </w:pPr>
            <w:r>
              <w:rPr>
                <w:rFonts w:ascii="Arial" w:hAnsi="Arial"/>
                <w:b/>
                <w:sz w:val="16"/>
              </w:rPr>
              <w:t>Source Verification</w:t>
            </w:r>
          </w:p>
        </w:tc>
        <w:tc>
          <w:tcPr>
            <w:tcW w:type="dxa" w:w="3346"/>
            <w:shd w:fill="F8FAFC"/>
            <w:tcMar>
              <w:top w:w="60" w:type="dxa"/>
              <w:bottom w:w="60" w:type="dxa"/>
              <w:left w:w="100" w:type="dxa"/>
              <w:right w:w="100" w:type="dxa"/>
            </w:tcMar>
          </w:tcPr>
          <w:p>
            <w:pPr>
              <w:spacing w:before="40" w:after="40"/>
            </w:pPr>
            <w:r>
              <w:rPr>
                <w:rFonts w:ascii="Arial" w:hAnsi="Arial"/>
                <w:color w:val="475569"/>
                <w:sz w:val="16"/>
              </w:rPr>
              <w:t>Unchecked or simulated URL references</w:t>
            </w:r>
          </w:p>
        </w:tc>
        <w:tc>
          <w:tcPr>
            <w:tcW w:type="dxa" w:w="3346"/>
            <w:shd w:fill="F8FAFC"/>
            <w:tcMar>
              <w:top w:w="60" w:type="dxa"/>
              <w:bottom w:w="60" w:type="dxa"/>
              <w:left w:w="100" w:type="dxa"/>
              <w:right w:w="100" w:type="dxa"/>
            </w:tcMar>
          </w:tcPr>
          <w:p>
            <w:pPr>
              <w:spacing w:before="40" w:after="40"/>
            </w:pPr>
            <w:r>
              <w:rPr>
                <w:rFonts w:ascii="Arial" w:hAnsi="Arial"/>
                <w:b/>
                <w:color w:val="1E40AF"/>
                <w:sz w:val="16"/>
              </w:rPr>
              <w:t>Exact numeric string matching against raw scientific corpus</w:t>
            </w:r>
          </w:p>
        </w:tc>
      </w:tr>
      <w:tr>
        <w:tc>
          <w:tcPr>
            <w:tcW w:type="dxa" w:w="3346"/>
            <w:tcMar>
              <w:top w:w="60" w:type="dxa"/>
              <w:bottom w:w="60" w:type="dxa"/>
              <w:left w:w="100" w:type="dxa"/>
              <w:right w:w="100" w:type="dxa"/>
            </w:tcMar>
          </w:tcPr>
          <w:p>
            <w:pPr>
              <w:spacing w:before="40" w:after="40"/>
            </w:pPr>
            <w:r>
              <w:rPr>
                <w:rFonts w:ascii="Arial" w:hAnsi="Arial"/>
                <w:b/>
                <w:sz w:val="16"/>
              </w:rPr>
              <w:t>Constraint Checking</w:t>
            </w:r>
          </w:p>
        </w:tc>
        <w:tc>
          <w:tcPr>
            <w:tcW w:type="dxa" w:w="3346"/>
            <w:tcMar>
              <w:top w:w="60" w:type="dxa"/>
              <w:bottom w:w="60" w:type="dxa"/>
              <w:left w:w="100" w:type="dxa"/>
              <w:right w:w="100" w:type="dxa"/>
            </w:tcMar>
          </w:tcPr>
          <w:p>
            <w:pPr>
              <w:spacing w:before="40" w:after="40"/>
            </w:pPr>
            <w:r>
              <w:rPr>
                <w:rFonts w:ascii="Arial" w:hAnsi="Arial"/>
                <w:color w:val="475569"/>
                <w:sz w:val="16"/>
              </w:rPr>
              <w:t>Passive prompting (frequently ignored under complex inputs)</w:t>
            </w:r>
          </w:p>
        </w:tc>
        <w:tc>
          <w:tcPr>
            <w:tcW w:type="dxa" w:w="3346"/>
            <w:tcMar>
              <w:top w:w="60" w:type="dxa"/>
              <w:bottom w:w="60" w:type="dxa"/>
              <w:left w:w="100" w:type="dxa"/>
              <w:right w:w="100" w:type="dxa"/>
            </w:tcMar>
          </w:tcPr>
          <w:p>
            <w:pPr>
              <w:spacing w:before="40" w:after="40"/>
            </w:pPr>
            <w:r>
              <w:rPr>
                <w:rFonts w:ascii="Arial" w:hAnsi="Arial"/>
                <w:b/>
                <w:color w:val="1E40AF"/>
                <w:sz w:val="16"/>
              </w:rPr>
              <w:t>Hard threshold validators (rainfall, soil pH, moisture limits)</w:t>
            </w:r>
          </w:p>
        </w:tc>
      </w:tr>
      <w:tr>
        <w:tc>
          <w:tcPr>
            <w:tcW w:type="dxa" w:w="3346"/>
            <w:shd w:fill="F8FAFC"/>
            <w:tcMar>
              <w:top w:w="60" w:type="dxa"/>
              <w:bottom w:w="60" w:type="dxa"/>
              <w:left w:w="100" w:type="dxa"/>
              <w:right w:w="100" w:type="dxa"/>
            </w:tcMar>
          </w:tcPr>
          <w:p>
            <w:pPr>
              <w:spacing w:before="40" w:after="40"/>
            </w:pPr>
            <w:r>
              <w:rPr>
                <w:rFonts w:ascii="Arial" w:hAnsi="Arial"/>
                <w:b/>
                <w:sz w:val="16"/>
              </w:rPr>
              <w:t>Uncertainty Handling</w:t>
            </w:r>
          </w:p>
        </w:tc>
        <w:tc>
          <w:tcPr>
            <w:tcW w:type="dxa" w:w="3346"/>
            <w:shd w:fill="F8FAFC"/>
            <w:tcMar>
              <w:top w:w="60" w:type="dxa"/>
              <w:bottom w:w="60" w:type="dxa"/>
              <w:left w:w="100" w:type="dxa"/>
              <w:right w:w="100" w:type="dxa"/>
            </w:tcMar>
          </w:tcPr>
          <w:p>
            <w:pPr>
              <w:spacing w:before="40" w:after="40"/>
            </w:pPr>
            <w:r>
              <w:rPr>
                <w:rFonts w:ascii="Arial" w:hAnsi="Arial"/>
                <w:color w:val="475569"/>
                <w:sz w:val="16"/>
              </w:rPr>
              <w:t>Masks ignorance with confident assertions</w:t>
            </w:r>
          </w:p>
        </w:tc>
        <w:tc>
          <w:tcPr>
            <w:tcW w:type="dxa" w:w="3346"/>
            <w:shd w:fill="F8FAFC"/>
            <w:tcMar>
              <w:top w:w="60" w:type="dxa"/>
              <w:bottom w:w="60" w:type="dxa"/>
              <w:left w:w="100" w:type="dxa"/>
              <w:right w:w="100" w:type="dxa"/>
            </w:tcMar>
          </w:tcPr>
          <w:p>
            <w:pPr>
              <w:spacing w:before="40" w:after="40"/>
            </w:pPr>
            <w:r>
              <w:rPr>
                <w:rFonts w:ascii="Arial" w:hAnsi="Arial"/>
                <w:b/>
                <w:color w:val="1E40AF"/>
                <w:sz w:val="16"/>
              </w:rPr>
              <w:t>Explicitly scores confidence (0.0-1.0) and asks targeted clarifications</w:t>
            </w:r>
          </w:p>
        </w:tc>
      </w:tr>
      <w:tr>
        <w:tc>
          <w:tcPr>
            <w:tcW w:type="dxa" w:w="3346"/>
            <w:tcMar>
              <w:top w:w="60" w:type="dxa"/>
              <w:bottom w:w="60" w:type="dxa"/>
              <w:left w:w="100" w:type="dxa"/>
              <w:right w:w="100" w:type="dxa"/>
            </w:tcMar>
          </w:tcPr>
          <w:p>
            <w:pPr>
              <w:spacing w:before="40" w:after="40"/>
            </w:pPr>
            <w:r>
              <w:rPr>
                <w:rFonts w:ascii="Arial" w:hAnsi="Arial"/>
                <w:b/>
                <w:sz w:val="16"/>
              </w:rPr>
              <w:t>Safety Guarantees</w:t>
            </w:r>
          </w:p>
        </w:tc>
        <w:tc>
          <w:tcPr>
            <w:tcW w:type="dxa" w:w="3346"/>
            <w:tcMar>
              <w:top w:w="60" w:type="dxa"/>
              <w:bottom w:w="60" w:type="dxa"/>
              <w:left w:w="100" w:type="dxa"/>
              <w:right w:w="100" w:type="dxa"/>
            </w:tcMar>
          </w:tcPr>
          <w:p>
            <w:pPr>
              <w:spacing w:before="40" w:after="40"/>
            </w:pPr>
            <w:r>
              <w:rPr>
                <w:rFonts w:ascii="Arial" w:hAnsi="Arial"/>
                <w:color w:val="475569"/>
                <w:sz w:val="16"/>
              </w:rPr>
              <w:t>May recommend invasive species or harmful water alterations</w:t>
            </w:r>
          </w:p>
        </w:tc>
        <w:tc>
          <w:tcPr>
            <w:tcW w:type="dxa" w:w="3346"/>
            <w:tcMar>
              <w:top w:w="60" w:type="dxa"/>
              <w:bottom w:w="60" w:type="dxa"/>
              <w:left w:w="100" w:type="dxa"/>
              <w:right w:w="100" w:type="dxa"/>
            </w:tcMar>
          </w:tcPr>
          <w:p>
            <w:pPr>
              <w:spacing w:before="40" w:after="40"/>
            </w:pPr>
            <w:r>
              <w:rPr>
                <w:rFonts w:ascii="Arial" w:hAnsi="Arial"/>
                <w:b/>
                <w:color w:val="1E40AF"/>
                <w:sz w:val="16"/>
              </w:rPr>
              <w:t>Deterministic rules block unfeasible or ecologically dangerous interventions</w:t>
            </w:r>
          </w:p>
        </w:tc>
      </w:tr>
      <w:tr>
        <w:tc>
          <w:tcPr>
            <w:tcW w:type="dxa" w:w="3346"/>
            <w:shd w:fill="F8FAFC"/>
            <w:tcMar>
              <w:top w:w="60" w:type="dxa"/>
              <w:bottom w:w="60" w:type="dxa"/>
              <w:left w:w="100" w:type="dxa"/>
              <w:right w:w="100" w:type="dxa"/>
            </w:tcMar>
          </w:tcPr>
          <w:p>
            <w:pPr>
              <w:spacing w:before="40" w:after="40"/>
            </w:pPr>
            <w:r>
              <w:rPr>
                <w:rFonts w:ascii="Arial" w:hAnsi="Arial"/>
                <w:b/>
                <w:sz w:val="16"/>
              </w:rPr>
              <w:t>Test Suite</w:t>
            </w:r>
          </w:p>
        </w:tc>
        <w:tc>
          <w:tcPr>
            <w:tcW w:type="dxa" w:w="3346"/>
            <w:shd w:fill="F8FAFC"/>
            <w:tcMar>
              <w:top w:w="60" w:type="dxa"/>
              <w:bottom w:w="60" w:type="dxa"/>
              <w:left w:w="100" w:type="dxa"/>
              <w:right w:w="100" w:type="dxa"/>
            </w:tcMar>
          </w:tcPr>
          <w:p>
            <w:pPr>
              <w:spacing w:before="40" w:after="40"/>
            </w:pPr>
            <w:r>
              <w:rPr>
                <w:rFonts w:ascii="Arial" w:hAnsi="Arial"/>
                <w:color w:val="475569"/>
                <w:sz w:val="16"/>
              </w:rPr>
              <w:t>Ad-hoc manual prompting</w:t>
            </w:r>
          </w:p>
        </w:tc>
        <w:tc>
          <w:tcPr>
            <w:tcW w:type="dxa" w:w="3346"/>
            <w:shd w:fill="F8FAFC"/>
            <w:tcMar>
              <w:top w:w="60" w:type="dxa"/>
              <w:bottom w:w="60" w:type="dxa"/>
              <w:left w:w="100" w:type="dxa"/>
              <w:right w:w="100" w:type="dxa"/>
            </w:tcMar>
          </w:tcPr>
          <w:p>
            <w:pPr>
              <w:spacing w:before="40" w:after="40"/>
            </w:pPr>
            <w:r>
              <w:rPr>
                <w:rFonts w:ascii="Arial" w:hAnsi="Arial"/>
                <w:b/>
                <w:color w:val="1E40AF"/>
                <w:sz w:val="16"/>
              </w:rPr>
              <w:t>79 Automated Tests (61 Backend Pytest + 18 Frontend Vitest)</w:t>
            </w:r>
          </w:p>
        </w:tc>
      </w:tr>
    </w:tbl>
    <w:p>
      <w:pPr>
        <w:spacing w:before="240" w:after="80"/>
      </w:pPr>
      <w:r>
        <w:rPr>
          <w:rFonts w:ascii="Arial" w:hAnsi="Arial"/>
          <w:b/>
          <w:color w:val="1E40AF"/>
          <w:sz w:val="24"/>
        </w:rPr>
        <w:t>5. Reproducibility &amp; Local Verification Guide</w:t>
      </w:r>
    </w:p>
    <w:p>
      <w:pPr>
        <w:spacing w:after="80"/>
      </w:pPr>
      <w:r>
        <w:rPr>
          <w:sz w:val="19"/>
        </w:rPr>
        <w:t>Evaluators can reproduce all results and run the comprehensive test suites locally with standard open-source tools:</w:t>
      </w:r>
    </w:p>
    <w:p>
      <w:r>
        <w:rPr>
          <w:rFonts w:ascii="Courier New" w:hAnsi="Courier New"/>
          <w:color w:val="E2E8F0"/>
          <w:sz w:val="17"/>
        </w:rPr>
        <w:t># 1. Clone the repository</w:t>
        <w:br/>
        <w:t>git clone https://github.com/daanialmirza5/EcoSynapse-AI.git</w:t>
        <w:br/>
        <w:t>cd EcoSynapse-AI</w:t>
        <w:br/>
        <w:br/>
        <w:t># 2. Run Backend Test Suite (61 tests)</w:t>
        <w:br/>
        <w:t>cd apps/api</w:t>
        <w:br/>
        <w:t>pytest tests/ -v</w:t>
        <w:br/>
        <w:br/>
        <w:t># 3. Run Frontend Test Suite (18 tests)</w:t>
        <w:br/>
        <w:t>cd ../web</w:t>
        <w:br/>
        <w:t>npm test -- --run</w:t>
        <w:br/>
        <w:br/>
        <w:t># 4. Validate Knowledge Graph &amp; Scientific Corpus</w:t>
        <w:br/>
        <w:t>python scripts/validate_knowledge.py</w:t>
      </w:r>
    </w:p>
    <w:tbl>
      <w:tblPr>
        <w:tblW w:type="auto" w:w="0"/>
        <w:jc w:val="center"/>
        <w:tblLook w:firstColumn="1" w:firstRow="1" w:lastColumn="0" w:lastRow="0" w:noHBand="0" w:noVBand="1" w:val="04A0"/>
      </w:tblPr>
      <w:tblGrid>
        <w:gridCol w:w="10037"/>
      </w:tblGrid>
      <w:tr>
        <w:tc>
          <w:tcPr>
            <w:tcW w:type="dxa" w:w="9936"/>
            <w:shd w:fill="0F172A"/>
            <w:tcMar>
              <w:top w:w="100" w:type="dxa"/>
              <w:bottom w:w="100" w:type="dxa"/>
              <w:left w:w="150" w:type="dxa"/>
              <w:right w:w="150" w:type="dxa"/>
            </w:tcMar>
          </w:tcPr>
          <w:p>
            <w:r>
              <w:rPr>
                <w:rFonts w:ascii="Courier New" w:hAnsi="Courier New"/>
                <w:color w:val="E2E8F0"/>
                <w:sz w:val="16"/>
              </w:rPr>
              <w:t># 1. Clone the repository</w:t>
              <w:br/>
              <w:t>git clone https://github.com/daanialmirza5/EcoSynapse-AI.git</w:t>
              <w:br/>
              <w:t>cd EcoSynapse-AI</w:t>
              <w:br/>
              <w:br/>
              <w:t># 2. Run Backend Test Suite (61 tests)</w:t>
              <w:br/>
              <w:t>cd apps/api</w:t>
              <w:br/>
              <w:t>pytest tests/ -v</w:t>
              <w:br/>
              <w:br/>
              <w:t># 3. Run Frontend Test Suite (18 tests)</w:t>
              <w:br/>
              <w:t>cd ../web</w:t>
              <w:br/>
              <w:t>npm test -- --run</w:t>
              <w:br/>
              <w:br/>
              <w:t># 4. Validate Knowledge Graph &amp; Scientific Corpus</w:t>
              <w:br/>
              <w:t>python scripts/validate_knowledge.py</w:t>
            </w:r>
          </w:p>
        </w:tc>
      </w:tr>
    </w:tbl>
    <w:sectPr w:rsidR="00FC693F" w:rsidRPr="0006063C"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