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166534"/>
          <w:sz w:val="16"/>
        </w:rPr>
        <w:t>DARUKAA.EARTH AI BIODIVERSITY INTELLIGENCE CHALLENGE</w:t>
      </w:r>
    </w:p>
    <w:p>
      <w:pPr>
        <w:spacing w:before="40" w:after="40"/>
      </w:pPr>
      <w:r>
        <w:rPr>
          <w:rFonts w:ascii="Arial" w:hAnsi="Arial"/>
          <w:b/>
          <w:color w:val="0F172A"/>
          <w:sz w:val="36"/>
        </w:rPr>
        <w:t>EcoSynapse AI: Evidence-Grounded Ecological Intelligence Platform</w:t>
      </w:r>
    </w:p>
    <w:p>
      <w:pPr>
        <w:spacing w:after="240"/>
      </w:pPr>
      <w:r>
        <w:rPr>
          <w:rFonts w:ascii="Arial" w:hAnsi="Arial"/>
          <w:b/>
          <w:color w:val="15803D"/>
          <w:sz w:val="21"/>
        </w:rPr>
        <w:t>Official Engineering Submission &amp; Technical Specification Document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1. Project Submission Links</w:t>
      </w:r>
    </w:p>
    <w:p>
      <w:pPr>
        <w:pStyle w:val="ListBullet"/>
      </w:pPr>
      <w:r>
        <w:rPr>
          <w:b/>
        </w:rPr>
        <w:t xml:space="preserve">GitHub Repository Link: </w:t>
      </w:r>
      <w:r>
        <w:t>https://github.com/daanialmirza5/EcoSynapse-AI</w:t>
      </w:r>
    </w:p>
    <w:p>
      <w:pPr>
        <w:pStyle w:val="ListBullet"/>
      </w:pPr>
      <w:r>
        <w:rPr>
          <w:b/>
        </w:rPr>
        <w:t xml:space="preserve">Live Cloud Demo (Frontend): </w:t>
      </w:r>
      <w:r>
        <w:t>https://ecosynapse-ai-1.onrender.com</w:t>
      </w:r>
    </w:p>
    <w:p>
      <w:pPr>
        <w:pStyle w:val="ListBullet"/>
      </w:pPr>
      <w:r>
        <w:rPr>
          <w:b/>
        </w:rPr>
        <w:t xml:space="preserve">Backend REST API: </w:t>
      </w:r>
      <w:r>
        <w:t>https://ecosynapse-ai.onrender.com</w:t>
      </w:r>
    </w:p>
    <w:p>
      <w:pPr>
        <w:pStyle w:val="ListBullet"/>
      </w:pPr>
      <w:r>
        <w:rPr>
          <w:b/>
        </w:rPr>
        <w:t xml:space="preserve">Interactive API Documentation (Swagger / OpenAPI): </w:t>
      </w:r>
      <w:r>
        <w:t>https://ecosynapse-ai.onrender.com/docs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Repository Access Notes: The GitHub repository is hosted under daanialmirza5/EcoSynapse-AI. Evaluators and reviewers can inspect all codebase commits, CI execution logs, and architecture documentation.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2. System Architecture &amp; Information Pipeline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EcoSynapse AI is designed around a strict anti-hallucination paradigm: an LLM is NOT the reasoning engine. While conventional conversational AI generates ungrounded advice and hallucinates ecological numbers, EcoSynapse AI uses a 100% deterministic Python reasoning engine grounded in a verified scientific corpus and a typed biological knowledge graph.</w:t>
      </w:r>
    </w:p>
    <w:p>
      <w:pPr>
        <w:spacing w:before="80" w:after="120"/>
      </w:pPr>
      <w:r>
        <w:rPr>
          <w:rFonts w:ascii="Consolas" w:hAnsi="Consolas"/>
          <w:color w:val="0F172A"/>
          <w:sz w:val="17"/>
        </w:rPr>
        <w:t>User Input (Natural Language or Structured JSON)</w:t>
        <w:br/>
        <w:t xml:space="preserve">  ↓</w:t>
        <w:br/>
        <w:t>Deterministic Environmental Variable Extraction (app/conversations/extraction.py)</w:t>
        <w:br/>
        <w:t xml:space="preserve">  ↓</w:t>
        <w:br/>
        <w:t>Validation &amp; Missing-Variable Detection → Clarification Engine</w:t>
        <w:br/>
        <w:t xml:space="preserve">  ↓</w:t>
        <w:br/>
        <w:t>Hybrid Scientific Retrieval (Cosine Semantic + BM25 Lexical + Graph Expansion)</w:t>
        <w:br/>
        <w:t xml:space="preserve">  ↓</w:t>
        <w:br/>
        <w:t>Typed Ecological Knowledge Graph (23 Nodes, 22 Typed Edges in NetworkX)</w:t>
        <w:br/>
        <w:t xml:space="preserve">  ↓</w:t>
        <w:br/>
        <w:t>10-Step Deterministic Reasoning Engine (app/reasoning/engine.py)</w:t>
        <w:br/>
        <w:t xml:space="preserve">  ↓</w:t>
        <w:br/>
        <w:t>Constraint Checks (Water sensitivity, soil thresholds, context matching)</w:t>
        <w:br/>
        <w:t xml:space="preserve">  ↓</w:t>
        <w:br/>
        <w:t>Scientific Claim Verification (Exact numeric validation against source text)</w:t>
        <w:br/>
        <w:t xml:space="preserve">  ↓</w:t>
        <w:br/>
        <w:t>Recommendation Generation (Impacted metrics, confidence score, time horizon)</w:t>
        <w:br/>
        <w:t xml:space="preserve">  ↓</w:t>
        <w:br/>
        <w:t>Actionable Monitoring Plan (Cadence schedule, zero fabricated baselines)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3. Core Ecological Intelligence Domains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EcoSynapse AI models interconnected biological relationships across all five mandatory challenge domains without relying on ungrounded generative speculation: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1F5F9"/>
          </w:tcPr>
          <w:p>
            <w:r>
              <w:rPr>
                <w:b/>
                <w:sz w:val="17"/>
              </w:rPr>
              <w:t>Domain Layer</w:t>
            </w:r>
          </w:p>
        </w:tc>
        <w:tc>
          <w:tcPr>
            <w:tcW w:type="dxa" w:w="3360"/>
            <w:shd w:fill="F1F5F9"/>
          </w:tcPr>
          <w:p>
            <w:r>
              <w:rPr>
                <w:b/>
                <w:sz w:val="17"/>
              </w:rPr>
              <w:t>Modeled Variables &amp; Parameters</w:t>
            </w:r>
          </w:p>
        </w:tc>
        <w:tc>
          <w:tcPr>
            <w:tcW w:type="dxa" w:w="3360"/>
            <w:shd w:fill="F1F5F9"/>
          </w:tcPr>
          <w:p>
            <w:r>
              <w:rPr>
                <w:b/>
                <w:sz w:val="17"/>
              </w:rPr>
              <w:t>Ecological Significance &amp; Mechanisms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1. Soil Health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Soil Organic Carbon (SOC %), Soil pH, Soil Moisture, Microbial Biomass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Drives belowground microbial respiration and nutrient cycling; extreme pH constrains microbial activity.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2. Land Use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Monoculture Cropland, Polyculture, Tillage Intensity, Buffer Strips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Monoculture practices drive habitat fragmentation; diversification enhances landscape complexity and connectivity.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3. Biodiversity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Species Richness, Beneficial Arthropods, Natural Predators, Pollinators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Primary ecological health indicators and ecosystem service drivers (pollination and biological pest suppression).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4. Climate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Precipitation / Rainfall (mm), Semi-Arid Indicators, Temperature Regimes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Core physical constraint on vegetation establishment, survival rates, and climate-induced species range shifts.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5. Human Impact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Chemical Pesticide Exposure, Agricultural Intensification, Habitat Loss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Direct hazard to non-target invertebrates and pollinators; compounds habitat loss in modified landscapes.</w:t>
            </w:r>
          </w:p>
        </w:tc>
      </w:tr>
    </w:tbl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4. Multi-Metric Reasoning &amp; Anti-Hallucination Design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EcoSynapse AI implements multi-layered safety mechanisms to prevent ecological hallucinations:</w:t>
      </w:r>
    </w:p>
    <w:p>
      <w:pPr>
        <w:pStyle w:val="ListBullet"/>
      </w:pPr>
      <w:r>
        <w:rPr>
          <w:b/>
        </w:rPr>
        <w:t xml:space="preserve">Deterministic Regex Fact Extraction: </w:t>
      </w:r>
      <w:r>
        <w:t>Environmental variables are parsed via strict regex patterns and domain-specific normalization; LLMs are never permitted to guess numbers.</w:t>
      </w:r>
    </w:p>
    <w:p>
      <w:pPr>
        <w:pStyle w:val="ListBullet"/>
      </w:pPr>
      <w:r>
        <w:rPr>
          <w:b/>
        </w:rPr>
        <w:t xml:space="preserve">Missing-Variable &amp; Feasibility Gates: </w:t>
      </w:r>
      <w:r>
        <w:t>Requires at least 3 known variables before generating interventions; otherwise halts and triggers high-value clarifying questions.</w:t>
      </w:r>
    </w:p>
    <w:p>
      <w:pPr>
        <w:pStyle w:val="ListBullet"/>
      </w:pPr>
      <w:r>
        <w:rPr>
          <w:b/>
        </w:rPr>
        <w:t xml:space="preserve">Constraint Checking: </w:t>
      </w:r>
      <w:r>
        <w:t>Enforces real-world physical constraints (e.g. low rainfall &lt; 500mm triggers water-sensitivity constraint on woody vegetation establishment).</w:t>
      </w:r>
    </w:p>
    <w:p>
      <w:pPr>
        <w:pStyle w:val="ListBullet"/>
      </w:pPr>
      <w:r>
        <w:rPr>
          <w:b/>
        </w:rPr>
        <w:t xml:space="preserve">Claim-Level Verification: </w:t>
      </w:r>
      <w:r>
        <w:t>Verifies all numeric figures and assertions against source excerpts in the curated corpus.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5. Structured Output Specification: Time Horizon, Evidence &amp; Confidence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Every recommendation output from POST /api/v1/assessments adheres to canonical machine-typed schemas: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1F5F9"/>
          </w:tcPr>
          <w:p>
            <w:r>
              <w:rPr>
                <w:b/>
                <w:sz w:val="17"/>
              </w:rPr>
              <w:t>Output Field</w:t>
            </w:r>
          </w:p>
        </w:tc>
        <w:tc>
          <w:tcPr>
            <w:tcW w:type="dxa" w:w="3360"/>
            <w:shd w:fill="F1F5F9"/>
          </w:tcPr>
          <w:p>
            <w:r>
              <w:rPr>
                <w:b/>
                <w:sz w:val="17"/>
              </w:rPr>
              <w:t>Canonical Values / Type</w:t>
            </w:r>
          </w:p>
        </w:tc>
        <w:tc>
          <w:tcPr>
            <w:tcW w:type="dxa" w:w="3360"/>
            <w:shd w:fill="F1F5F9"/>
          </w:tcPr>
          <w:p>
            <w:r>
              <w:rPr>
                <w:b/>
                <w:sz w:val="17"/>
              </w:rPr>
              <w:t>Definition &amp; Deterministic Calculation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time_horizon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short | medium | long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Biological response window: Short (0–6 mo), Medium (1–3 yr), Long (3–10 yr).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evidence_strength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strong | moderate | weak | hypothesis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Quality of scientific evidence: Strong (meta-analysis/FAO), Moderate (observational), Weak (heterogeneous), Hypothesis.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confidence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high | medium | low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Derived from data completeness percentage + average supporting evidence strength.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feasibility_constraints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List[str]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Explicit environmental feasibility limits (e.g. water sensitivity in low rainfall).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claim_evidence_table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List[ClaimEvidenceOut]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Granular breakdown of every supporting scientific claim, cited source ID, DOI, and raw excerpt.</w:t>
            </w:r>
          </w:p>
        </w:tc>
      </w:tr>
    </w:tbl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6. Knowledge Base &amp; Data Architecture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EcoSynapse AI is powered by PostgreSQL (with SQLite for fully offline development and CI), version-controlled via Alembic migrations:</w:t>
      </w:r>
    </w:p>
    <w:p>
      <w:pPr>
        <w:pStyle w:val="ListBullet"/>
      </w:pPr>
      <w:r>
        <w:rPr>
          <w:b/>
        </w:rPr>
        <w:t xml:space="preserve">12 Verified Scientific Sources: </w:t>
      </w:r>
      <w:r>
        <w:t>Peer-reviewed DOI papers and institutional reports (FAO, Wiley, Nature Comms, MDPI, BMC Ecology &amp; Evolution) across all 5 mandatory domains.</w:t>
      </w:r>
    </w:p>
    <w:p>
      <w:pPr>
        <w:pStyle w:val="ListBullet"/>
      </w:pPr>
      <w:r>
        <w:rPr>
          <w:b/>
        </w:rPr>
        <w:t xml:space="preserve">23 Nodes &amp; 22 Typed Edges: </w:t>
      </w:r>
      <w:r>
        <w:t>MultiDiGraph in NetworkX modeling biological mechanisms, influence directions, and constraint barriers.</w:t>
      </w:r>
    </w:p>
    <w:p>
      <w:pPr>
        <w:pStyle w:val="ListBullet"/>
      </w:pPr>
      <w:r>
        <w:rPr>
          <w:b/>
        </w:rPr>
        <w:t xml:space="preserve">Hybrid Retrieval Engine: </w:t>
      </w:r>
      <w:r>
        <w:t>Deterministic TF-IDF hashing embeddings + lexical term frequency + 1-hop knowledge graph expansion.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7. Structured JSON Input &amp; REST API Reference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EcoSynapse accepts both natural language queries and fully structured JSON payloads across all REST API endpoints:</w:t>
      </w:r>
    </w:p>
    <w:p>
      <w:pPr>
        <w:spacing w:before="80" w:after="120"/>
      </w:pPr>
      <w:r>
        <w:rPr>
          <w:rFonts w:ascii="Consolas" w:hAnsi="Consolas"/>
          <w:color w:val="0F172A"/>
          <w:sz w:val="17"/>
        </w:rPr>
        <w:t>POST /api/v1/conversations/{id}/messages - Processes text and/or structured_input context</w:t>
        <w:br/>
        <w:t>POST /api/v1/profiles - Direct programmatic environmental profile creation</w:t>
        <w:br/>
        <w:t>POST /api/v1/assessments - Executes 10-step reasoning engine; returns recommendations &amp; monitoring</w:t>
        <w:br/>
        <w:t>POST /api/v1/retrieval/inspect - Returns ranked evidence chunks with scoring trace</w:t>
        <w:br/>
        <w:t>GET /api/v1/knowledge/graph - Returns full 23-node, 22-edge topology</w:t>
        <w:br/>
        <w:t>GET /health &amp; GET /health/ready - Liveness and strict database readiness probes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8. Feature Walkthrough &amp; Verification Guide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The React 18 frontend exposes dedicated analytical interfaces:</w:t>
      </w:r>
    </w:p>
    <w:p>
      <w:pPr>
        <w:pStyle w:val="ListBullet"/>
      </w:pPr>
      <w:r>
        <w:rPr>
          <w:b/>
        </w:rPr>
        <w:t xml:space="preserve">Overview (/): </w:t>
      </w:r>
      <w:r>
        <w:t>Live telemetry showing verified sources (12), graph nodes (23), relationships (22), and reasoning stages.</w:t>
      </w:r>
    </w:p>
    <w:p>
      <w:pPr>
        <w:pStyle w:val="ListBullet"/>
      </w:pPr>
      <w:r>
        <w:rPr>
          <w:b/>
        </w:rPr>
        <w:t xml:space="preserve">Assessment Workspace (/workspace): </w:t>
      </w:r>
      <w:r>
        <w:t>Interactive conversational workspace. Load the demo scenario (semi-arid cropland, declining pollinators) and run the reasoning engine to view grounded recommendations.</w:t>
      </w:r>
    </w:p>
    <w:p>
      <w:pPr>
        <w:pStyle w:val="ListBullet"/>
      </w:pPr>
      <w:r>
        <w:rPr>
          <w:b/>
        </w:rPr>
        <w:t xml:space="preserve">Evidence Explorer (/evidence): </w:t>
      </w:r>
      <w:r>
        <w:t>Browse all 12 verified sources and run hybrid retrieval queries with relevance traces.</w:t>
      </w:r>
    </w:p>
    <w:p>
      <w:pPr>
        <w:pStyle w:val="ListBullet"/>
      </w:pPr>
      <w:r>
        <w:rPr>
          <w:b/>
        </w:rPr>
        <w:t xml:space="preserve">Knowledge Graph (/graph): </w:t>
      </w:r>
      <w:r>
        <w:t>Interactive explorer of typed biological nodes and relationships color-coded by evidence strength.</w:t>
      </w:r>
    </w:p>
    <w:p>
      <w:pPr>
        <w:pStyle w:val="ListBullet"/>
      </w:pPr>
      <w:r>
        <w:rPr>
          <w:b/>
        </w:rPr>
        <w:t xml:space="preserve">Monitoring Dashboard (/monitoring): </w:t>
      </w:r>
      <w:r>
        <w:t>Aggregates monitoring cadences and metric schedules across active recommendations.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9. Local Setup &amp; Execution Guide</w:t>
      </w:r>
    </w:p>
    <w:p>
      <w:pPr>
        <w:spacing w:before="0" w:after="100" w:line="276" w:lineRule="auto"/>
      </w:pPr>
      <w:r>
        <w:rPr>
          <w:rFonts w:ascii="Arial" w:hAnsi="Arial"/>
          <w:color w:val="334155"/>
          <w:sz w:val="19"/>
        </w:rPr>
        <w:t>EcoSynapse AI runs 100% offline with zero required external API keys:</w:t>
      </w:r>
    </w:p>
    <w:p>
      <w:pPr>
        <w:spacing w:before="80" w:after="120"/>
      </w:pPr>
      <w:r>
        <w:rPr>
          <w:rFonts w:ascii="Consolas" w:hAnsi="Consolas"/>
          <w:color w:val="0F172A"/>
          <w:sz w:val="17"/>
        </w:rPr>
        <w:t># Backend (apps/api)</w:t>
        <w:br/>
        <w:t>cd apps/api &amp;&amp; python -m venv .venv</w:t>
        <w:br/>
        <w:t>.\.venv\Scripts\Activate.ps1   # Or source .venv/bin/activate on Linux/macOS</w:t>
        <w:br/>
        <w:t>pip install -e ".[dev]"</w:t>
        <w:br/>
        <w:t>alembic upgrade head</w:t>
        <w:br/>
        <w:t>uvicorn app.main:app --reload --port 8000</w:t>
        <w:br/>
        <w:br/>
        <w:t># Frontend (apps/web)</w:t>
        <w:br/>
        <w:t>cd apps/web &amp;&amp; npm install &amp;&amp; npm run dev</w:t>
        <w:br/>
        <w:br/>
        <w:t># Docker Compose Launch</w:t>
        <w:br/>
        <w:t>docker compose up --build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6"/>
        </w:rPr>
        <w:t>10. Cloud Infrastructure, Deployment &amp; CI/CD</w:t>
      </w:r>
    </w:p>
    <w:p>
      <w:pPr>
        <w:pStyle w:val="ListBullet"/>
      </w:pPr>
      <w:r>
        <w:rPr>
          <w:b/>
        </w:rPr>
        <w:t xml:space="preserve">Infrastructure: </w:t>
      </w:r>
      <w:r>
        <w:t>Docker Web Service (FastAPI) + Managed PostgreSQL + React Static Site orchestrated via render.yaml.</w:t>
      </w:r>
    </w:p>
    <w:p>
      <w:pPr>
        <w:pStyle w:val="ListBullet"/>
      </w:pPr>
      <w:r>
        <w:rPr>
          <w:b/>
        </w:rPr>
        <w:t xml:space="preserve">CI/CD Quality Gate: </w:t>
      </w:r>
      <w:r>
        <w:t>GitHub Actions runs 79 automated tests (61 backend pytest, 18 frontend vitest, 100% passing), pip-audit (0 vulnerabilities), Ruff linting, and TypeScript compilation.</w:t>
      </w:r>
    </w:p>
    <w:p>
      <w:pPr>
        <w:pStyle w:val="ListBullet"/>
      </w:pPr>
      <w:r>
        <w:rPr>
          <w:b/>
        </w:rPr>
        <w:t xml:space="preserve">Deployment Status: </w:t>
      </w:r>
      <w:r>
        <w:t>Frontend is live at https://ecosynapse-ai-1.onrender.com. Backend service deployment is provisioned on Render; final runtime container routing verification remains in progress.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