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Study: GlobalBank Digital Transformation</w:t>
      </w:r>
    </w:p>
    <w:p>
      <w:pPr>
        <w:pStyle w:val="Heading1"/>
      </w:pPr>
      <w:r>
        <w:t>The Challenge</w:t>
      </w:r>
    </w:p>
    <w:p>
      <w:r>
        <w:t>GlobalBank was processing over 4,000 procurement workflows manually via email, leading to an average turn-around time (TAT) of 45 days and high compliance failure rates.</w:t>
      </w:r>
    </w:p>
    <w:p>
      <w:pPr>
        <w:pStyle w:val="Heading1"/>
      </w:pPr>
      <w:r>
        <w:t>The Solution</w:t>
      </w:r>
    </w:p>
    <w:p>
      <w:r>
        <w:t>We deployed our AI-driven workflow engine with direct ERP integrations onto their on-premise infrastructure. This enabled full auditability and automated requirement extraction.</w:t>
      </w:r>
    </w:p>
    <w:p>
      <w:pPr>
        <w:pStyle w:val="Heading1"/>
      </w:pPr>
      <w:r>
        <w:t>The Results</w:t>
      </w:r>
    </w:p>
    <w:p>
      <w:r>
        <w:t>Within 6 months, GlobalBank reduced their TAT from 45 days to 4 days, reduced operational costs by 38%, and achieved 100% compliance on SOC2 audit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