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Master Policy</w:t>
      </w:r>
    </w:p>
    <w:p>
      <w:r>
        <w:t>This document outlines our primary security and operational capabilities.</w:t>
      </w:r>
    </w:p>
    <w:p>
      <w:r>
        <w:t>Infrastructure Security: The vendor confirms that all facilities and data centers maintain strict ISO-27001 compliance. We undergo yearly third-party audits to guarantee this certification.</w:t>
      </w:r>
    </w:p>
    <w:p>
      <w:r>
        <w:t>Availability: Our cloud architecture provides a highly redundant system. Uptime is guaranteed at exactly 99.9% across all global zones.</w:t>
      </w:r>
    </w:p>
    <w:p>
      <w:r>
        <w:t>Encryption Standards: Security is our highest priority. All customer data is strictly encrypted at rest using AES-256 encryption. Data in transit is secured via TLS 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