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 2 Information Security Policy</w:t>
      </w:r>
    </w:p>
    <w:p>
      <w:pPr>
        <w:pStyle w:val="Heading1"/>
      </w:pPr>
      <w:r>
        <w:t>1. Data Encryption</w:t>
      </w:r>
    </w:p>
    <w:p>
      <w:r>
        <w:t>All customer data in Transit and at Rest is encrypted using AES-256 and TLS 1.3 standards. Keys are physically isolated using AWS KMS. No raw data is ever exposed to unauthenticated users or employees.</w:t>
      </w:r>
    </w:p>
    <w:p>
      <w:pPr>
        <w:pStyle w:val="Heading1"/>
      </w:pPr>
      <w:r>
        <w:t>2. Access Control</w:t>
      </w:r>
    </w:p>
    <w:p>
      <w:r>
        <w:t>We enforce Multi-Factor Authentication (MFactor) for all internal systems. Role-Based Access Control (RBAC) is implemented down to the field level. Access reviews occur quarterly.</w:t>
      </w:r>
    </w:p>
    <w:p>
      <w:pPr>
        <w:pStyle w:val="Heading1"/>
      </w:pPr>
      <w:r>
        <w:t>3. Incident Response</w:t>
      </w:r>
    </w:p>
    <w:p>
      <w:r>
        <w:t>Our SLA guarantees a 1-hour initial response time for Critical (P0) incidents out of our 24/7 Global NOC. Annual penetration tests are conducted by independent third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