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and ML Capabilities</w:t>
      </w:r>
    </w:p>
    <w:p>
      <w:pPr>
        <w:pStyle w:val="Heading1"/>
      </w:pPr>
      <w:r>
        <w:t>Machine Learning</w:t>
      </w:r>
    </w:p>
    <w:p>
      <w:r>
        <w:t>Our machine learning practice trains and fine-tunes custom predictive engines to support intelligent enterprise decision-making.</w:t>
      </w:r>
    </w:p>
    <w:p>
      <w:pPr>
        <w:pStyle w:val="Heading1"/>
      </w:pPr>
      <w:r>
        <w:t>Natural Language Processing (NLP)</w:t>
      </w:r>
    </w:p>
    <w:p>
      <w:r>
        <w:t>We leverage advanced NLP models natively integrated into our RAG systems to parse complex documents and extract meaningful insights.</w:t>
      </w:r>
    </w:p>
    <w:p>
      <w:pPr>
        <w:pStyle w:val="Heading1"/>
      </w:pPr>
      <w:r>
        <w:t>Computer Vision</w:t>
      </w:r>
    </w:p>
    <w:p>
      <w:r>
        <w:t>Our computer vision models specialize in automated document OCR and layout detection for rapid PDF processing.</w:t>
      </w:r>
    </w:p>
    <w:p>
      <w:pPr>
        <w:pStyle w:val="Heading1"/>
      </w:pPr>
      <w:r>
        <w:t>Model Deployment</w:t>
      </w:r>
    </w:p>
    <w:p>
      <w:r>
        <w:t>We deploy AI models seamlessly utilizing scalable Triton Inference Server clusters equipped with GPU acceleration.</w:t>
      </w:r>
    </w:p>
    <w:p>
      <w:pPr>
        <w:pStyle w:val="Heading1"/>
      </w:pPr>
      <w:r>
        <w:t>MLOps</w:t>
      </w:r>
    </w:p>
    <w:p>
      <w:r>
        <w:t>Our comprehensive MLOps pipeline guarantees robust model tracking, automated drift detection, and continuous retraining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