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Certifications and Policies</w:t>
      </w:r>
    </w:p>
    <w:p>
      <w:pPr>
        <w:pStyle w:val="Heading1"/>
      </w:pPr>
      <w:r>
        <w:t>Security Policies</w:t>
      </w:r>
    </w:p>
    <w:p>
      <w:r>
        <w:t>We enforce a zero-trust network architecture policy, where every device, user, and network flow is verified strictly without implicit trust.</w:t>
      </w:r>
    </w:p>
    <w:p>
      <w:pPr>
        <w:pStyle w:val="Heading1"/>
      </w:pPr>
      <w:r>
        <w:t>Data Retention</w:t>
      </w:r>
    </w:p>
    <w:p>
      <w:r>
        <w:t>Our data retention policy defaults to keeping logs for a minimum of 1 year, and client information is permanently destroyed 30 days after contract termination.</w:t>
      </w:r>
    </w:p>
    <w:p>
      <w:pPr>
        <w:pStyle w:val="Heading1"/>
      </w:pPr>
      <w:r>
        <w:t>Backup and Recovery</w:t>
      </w:r>
    </w:p>
    <w:p>
      <w:r>
        <w:t>We execute automated daily backups with a Recovery Point Objective (RPO) of 24 hours and a Recovery Time Objective (RTO) of 1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